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July 31,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8" w:lineRule="exact"/>
        <w:rPr>
          <w:sz w:val="24"/>
          <w:szCs w:val="24"/>
          <w:color w:val="auto"/>
        </w:rPr>
      </w:pPr>
    </w:p>
    <w:tbl>
      <w:tblPr>
        <w:tblLayout w:type="fixed"/>
        <w:tblInd w:w="1740" w:type="dxa"/>
        <w:tblCellMar>
          <w:top w:w="0" w:type="dxa"/>
          <w:left w:w="0" w:type="dxa"/>
          <w:bottom w:w="0" w:type="dxa"/>
          <w:right w:w="0" w:type="dxa"/>
        </w:tblCellMar>
      </w:tblPr>
      <w:tr>
        <w:trPr>
          <w:trHeight w:val="222"/>
        </w:trPr>
        <w:tc>
          <w:tcPr>
            <w:tcW w:w="6080" w:type="dxa"/>
            <w:vAlign w:val="bottom"/>
          </w:tcPr>
          <w:p>
            <w:pPr>
              <w:jc w:val="center"/>
              <w:ind w:left="1770"/>
              <w:spacing w:after="0"/>
              <w:rPr>
                <w:sz w:val="20"/>
                <w:szCs w:val="20"/>
                <w:color w:val="auto"/>
              </w:rPr>
            </w:pPr>
            <w:r>
              <w:rPr>
                <w:rFonts w:ascii="Arial" w:cs="Arial" w:eastAsia="Arial" w:hAnsi="Arial"/>
                <w:sz w:val="18"/>
                <w:szCs w:val="18"/>
                <w:color w:val="auto"/>
                <w:w w:val="89"/>
              </w:rPr>
              <w:t>Commission File Number: 0-14338</w:t>
            </w:r>
          </w:p>
        </w:tc>
        <w:tc>
          <w:tcPr>
            <w:tcW w:w="1400" w:type="dxa"/>
            <w:vAlign w:val="bottom"/>
          </w:tcPr>
          <w:p>
            <w:pPr>
              <w:spacing w:after="0"/>
              <w:rPr>
                <w:sz w:val="19"/>
                <w:szCs w:val="19"/>
                <w:color w:val="auto"/>
              </w:rPr>
            </w:pPr>
          </w:p>
        </w:tc>
      </w:tr>
      <w:tr>
        <w:trPr>
          <w:trHeight w:val="651"/>
        </w:trPr>
        <w:tc>
          <w:tcPr>
            <w:tcW w:w="6080" w:type="dxa"/>
            <w:vAlign w:val="bottom"/>
          </w:tcPr>
          <w:p>
            <w:pPr>
              <w:jc w:val="center"/>
              <w:ind w:left="1770"/>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74"/>
        </w:trPr>
        <w:tc>
          <w:tcPr>
            <w:tcW w:w="6080" w:type="dxa"/>
            <w:vAlign w:val="bottom"/>
          </w:tcPr>
          <w:p>
            <w:pPr>
              <w:jc w:val="center"/>
              <w:ind w:left="17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400" w:type="dxa"/>
            <w:vAlign w:val="bottom"/>
          </w:tcPr>
          <w:p>
            <w:pPr>
              <w:spacing w:after="0"/>
              <w:rPr>
                <w:sz w:val="15"/>
                <w:szCs w:val="15"/>
                <w:color w:val="auto"/>
              </w:rPr>
            </w:pPr>
          </w:p>
        </w:tc>
      </w:tr>
      <w:tr>
        <w:trPr>
          <w:trHeight w:val="393"/>
        </w:trPr>
        <w:tc>
          <w:tcPr>
            <w:tcW w:w="6080" w:type="dxa"/>
            <w:vAlign w:val="bottom"/>
          </w:tcPr>
          <w:p>
            <w:pPr>
              <w:jc w:val="center"/>
              <w:ind w:right="3730"/>
              <w:spacing w:after="0"/>
              <w:rPr>
                <w:sz w:val="20"/>
                <w:szCs w:val="20"/>
                <w:color w:val="auto"/>
              </w:rPr>
            </w:pPr>
            <w:r>
              <w:rPr>
                <w:rFonts w:ascii="Arial" w:cs="Arial" w:eastAsia="Arial" w:hAnsi="Arial"/>
                <w:sz w:val="18"/>
                <w:szCs w:val="18"/>
                <w:b w:val="1"/>
                <w:bCs w:val="1"/>
                <w:color w:val="auto"/>
                <w:w w:val="88"/>
              </w:rPr>
              <w:t>Delaware</w:t>
            </w:r>
          </w:p>
        </w:tc>
        <w:tc>
          <w:tcPr>
            <w:tcW w:w="1400" w:type="dxa"/>
            <w:vAlign w:val="bottom"/>
          </w:tcPr>
          <w:p>
            <w:pPr>
              <w:jc w:val="right"/>
              <w:ind w:right="44"/>
              <w:spacing w:after="0"/>
              <w:rPr>
                <w:sz w:val="20"/>
                <w:szCs w:val="20"/>
                <w:color w:val="auto"/>
              </w:rPr>
            </w:pPr>
            <w:r>
              <w:rPr>
                <w:rFonts w:ascii="Arial" w:cs="Arial" w:eastAsia="Arial" w:hAnsi="Arial"/>
                <w:sz w:val="18"/>
                <w:szCs w:val="18"/>
                <w:b w:val="1"/>
                <w:bCs w:val="1"/>
                <w:color w:val="auto"/>
              </w:rPr>
              <w:t>94-2819853</w:t>
            </w:r>
          </w:p>
        </w:tc>
      </w:tr>
      <w:tr>
        <w:trPr>
          <w:trHeight w:val="149"/>
        </w:trPr>
        <w:tc>
          <w:tcPr>
            <w:tcW w:w="6080" w:type="dxa"/>
            <w:vAlign w:val="bottom"/>
          </w:tcPr>
          <w:p>
            <w:pPr>
              <w:jc w:val="center"/>
              <w:ind w:right="375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080" w:type="dxa"/>
            <w:vAlign w:val="bottom"/>
          </w:tcPr>
          <w:p>
            <w:pPr>
              <w:jc w:val="center"/>
              <w:ind w:right="3750"/>
              <w:spacing w:after="0"/>
              <w:rPr>
                <w:sz w:val="20"/>
                <w:szCs w:val="20"/>
                <w:color w:val="auto"/>
              </w:rPr>
            </w:pPr>
            <w:r>
              <w:rPr>
                <w:rFonts w:ascii="Arial" w:cs="Arial" w:eastAsia="Arial" w:hAnsi="Arial"/>
                <w:sz w:val="14"/>
                <w:szCs w:val="14"/>
                <w:b w:val="1"/>
                <w:bCs w:val="1"/>
                <w:color w:val="auto"/>
                <w:w w:val="88"/>
              </w:rPr>
              <w:t>incorporation or organization)</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6080" w:type="dxa"/>
            <w:vAlign w:val="bottom"/>
          </w:tcPr>
          <w:p>
            <w:pPr>
              <w:jc w:val="center"/>
              <w:ind w:right="3750"/>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1"/>
        </w:trPr>
        <w:tc>
          <w:tcPr>
            <w:tcW w:w="6080" w:type="dxa"/>
            <w:vAlign w:val="bottom"/>
          </w:tcPr>
          <w:p>
            <w:pPr>
              <w:jc w:val="center"/>
              <w:ind w:right="3750"/>
              <w:spacing w:after="0"/>
              <w:rPr>
                <w:sz w:val="20"/>
                <w:szCs w:val="20"/>
                <w:color w:val="auto"/>
              </w:rPr>
            </w:pPr>
            <w:r>
              <w:rPr>
                <w:rFonts w:ascii="Arial" w:cs="Arial" w:eastAsia="Arial" w:hAnsi="Arial"/>
                <w:sz w:val="18"/>
                <w:szCs w:val="18"/>
                <w:b w:val="1"/>
                <w:bCs w:val="1"/>
                <w:color w:val="auto"/>
                <w:w w:val="90"/>
              </w:rPr>
              <w:t>San Rafael, California</w:t>
            </w:r>
          </w:p>
        </w:tc>
        <w:tc>
          <w:tcPr>
            <w:tcW w:w="1400" w:type="dxa"/>
            <w:vAlign w:val="bottom"/>
          </w:tcPr>
          <w:p>
            <w:pPr>
              <w:jc w:val="right"/>
              <w:ind w:right="244"/>
              <w:spacing w:after="0"/>
              <w:rPr>
                <w:sz w:val="20"/>
                <w:szCs w:val="20"/>
                <w:color w:val="auto"/>
              </w:rPr>
            </w:pPr>
            <w:r>
              <w:rPr>
                <w:rFonts w:ascii="Arial" w:cs="Arial" w:eastAsia="Arial" w:hAnsi="Arial"/>
                <w:sz w:val="18"/>
                <w:szCs w:val="18"/>
                <w:b w:val="1"/>
                <w:bCs w:val="1"/>
                <w:color w:val="auto"/>
              </w:rPr>
              <w:t>94903</w:t>
            </w:r>
          </w:p>
        </w:tc>
      </w:tr>
      <w:tr>
        <w:trPr>
          <w:trHeight w:val="174"/>
        </w:trPr>
        <w:tc>
          <w:tcPr>
            <w:tcW w:w="6080" w:type="dxa"/>
            <w:vAlign w:val="bottom"/>
          </w:tcPr>
          <w:p>
            <w:pPr>
              <w:jc w:val="center"/>
              <w:ind w:right="375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08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(415) 507-5000</w:t>
            </w:r>
          </w:p>
        </w:tc>
        <w:tc>
          <w:tcPr>
            <w:tcW w:w="1400" w:type="dxa"/>
            <w:vAlign w:val="bottom"/>
          </w:tcPr>
          <w:p>
            <w:pPr>
              <w:spacing w:after="0"/>
              <w:rPr>
                <w:sz w:val="24"/>
                <w:szCs w:val="24"/>
                <w:color w:val="auto"/>
              </w:rPr>
            </w:pPr>
          </w:p>
        </w:tc>
      </w:tr>
      <w:tr>
        <w:trPr>
          <w:trHeight w:val="174"/>
        </w:trPr>
        <w:tc>
          <w:tcPr>
            <w:tcW w:w="6080" w:type="dxa"/>
            <w:vAlign w:val="bottom"/>
          </w:tcPr>
          <w:p>
            <w:pPr>
              <w:jc w:val="center"/>
              <w:ind w:left="177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400" w:type="dxa"/>
            <w:vAlign w:val="bottom"/>
          </w:tcPr>
          <w:p>
            <w:pPr>
              <w:spacing w:after="0"/>
              <w:rPr>
                <w:sz w:val="15"/>
                <w:szCs w:val="15"/>
                <w:color w:val="auto"/>
              </w:rPr>
            </w:pPr>
          </w:p>
        </w:tc>
      </w:tr>
    </w:tbl>
    <w:p>
      <w:pPr>
        <w:spacing w:after="0" w:line="141"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6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680" w:type="dxa"/>
            <w:vAlign w:val="bottom"/>
          </w:tcPr>
          <w:p>
            <w:pPr>
              <w:jc w:val="right"/>
              <w:ind w:right="1372"/>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9"/>
              </w:rPr>
              <w:t>As of August 21, 2009, there were 229,732,680 shares of the registrant’s Common Stock outstanding.</w:t>
            </w: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1760" w:type="dxa"/>
            <w:vAlign w:val="bottom"/>
            <w:tcBorders>
              <w:bottom w:val="single" w:sz="8" w:color="auto"/>
            </w:tcBorders>
          </w:tcPr>
          <w:p>
            <w:pPr>
              <w:spacing w:after="0"/>
              <w:rPr>
                <w:sz w:val="21"/>
                <w:szCs w:val="21"/>
                <w:color w:val="auto"/>
              </w:rPr>
            </w:pPr>
          </w:p>
        </w:tc>
        <w:tc>
          <w:tcPr>
            <w:tcW w:w="676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34"/>
        </w:trPr>
        <w:tc>
          <w:tcPr>
            <w:tcW w:w="17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40" w:type="dxa"/>
            <w:vAlign w:val="bottom"/>
            <w:gridSpan w:val="9"/>
            <w:vMerge w:val="restart"/>
          </w:tcPr>
          <w:p>
            <w:pPr>
              <w:jc w:val="center"/>
              <w:ind w:right="3280"/>
              <w:spacing w:after="0"/>
              <w:rPr>
                <w:sz w:val="20"/>
                <w:szCs w:val="20"/>
                <w:color w:val="auto"/>
              </w:rPr>
            </w:pPr>
            <w:r>
              <w:rPr>
                <w:rFonts w:ascii="Arial" w:cs="Arial" w:eastAsia="Arial" w:hAnsi="Arial"/>
                <w:sz w:val="18"/>
                <w:szCs w:val="18"/>
                <w:b w:val="1"/>
                <w:bCs w:val="1"/>
                <w:color w:val="auto"/>
                <w:w w:val="99"/>
              </w:rPr>
              <w:t>PART I. FINANCIAL INFORMATION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gridSpan w:val="9"/>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80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0" w:type="dxa"/>
            <w:vAlign w:val="bottom"/>
          </w:tcPr>
          <w:p>
            <w:pPr>
              <w:spacing w:after="0"/>
              <w:rPr>
                <w:sz w:val="24"/>
                <w:szCs w:val="24"/>
                <w:color w:val="auto"/>
              </w:rPr>
            </w:pPr>
          </w:p>
        </w:tc>
        <w:tc>
          <w:tcPr>
            <w:tcW w:w="358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622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and Six Months Ended July 31, 2009 and 2008</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98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5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July 31, 2009 and January 31, 2009</w:t>
              </w:r>
            </w:hyperlink>
          </w:p>
        </w:tc>
        <w:tc>
          <w:tcPr>
            <w:tcW w:w="140" w:type="dxa"/>
            <w:vAlign w:val="bottom"/>
            <w:tcBorders>
              <w:top w:val="single" w:sz="8" w:color="0000EE"/>
            </w:tcBorders>
          </w:tcPr>
          <w:p>
            <w:pPr>
              <w:spacing w:after="0"/>
              <w:rPr>
                <w:sz w:val="17"/>
                <w:szCs w:val="17"/>
                <w:color w:val="auto"/>
              </w:rPr>
            </w:pPr>
          </w:p>
        </w:tc>
        <w:tc>
          <w:tcPr>
            <w:tcW w:w="694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98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Six Months Ended July 31, 2009 and 2008</w:t>
              </w:r>
            </w:hyperlink>
          </w:p>
        </w:tc>
        <w:tc>
          <w:tcPr>
            <w:tcW w:w="400" w:type="dxa"/>
            <w:vAlign w:val="bottom"/>
            <w:tcBorders>
              <w:top w:val="single" w:sz="8" w:color="0000EE"/>
            </w:tcBorders>
            <w:gridSpan w:val="2"/>
          </w:tcPr>
          <w:p>
            <w:pPr>
              <w:spacing w:after="0"/>
              <w:rPr>
                <w:sz w:val="17"/>
                <w:szCs w:val="17"/>
                <w:color w:val="auto"/>
              </w:rPr>
            </w:pPr>
          </w:p>
        </w:tc>
        <w:tc>
          <w:tcPr>
            <w:tcW w:w="618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96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w:t>
              </w:r>
            </w:hyperlink>
          </w:p>
        </w:tc>
        <w:tc>
          <w:tcPr>
            <w:tcW w:w="584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800" w:type="dxa"/>
            <w:vAlign w:val="bottom"/>
            <w:gridSpan w:val="19"/>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bottom w:val="single" w:sz="8" w:color="0000EE"/>
            </w:tcBorders>
            <w:gridSpan w:val="17"/>
          </w:tcPr>
          <w:p>
            <w:pPr>
              <w:spacing w:after="0"/>
              <w:rPr>
                <w:rFonts w:ascii="Arial" w:cs="Arial" w:eastAsia="Arial" w:hAnsi="Arial"/>
                <w:sz w:val="18"/>
                <w:szCs w:val="18"/>
                <w:b w:val="1"/>
                <w:bCs w:val="1"/>
                <w:color w:val="0000EE"/>
                <w:w w:val="89"/>
              </w:rPr>
            </w:pPr>
            <w:hyperlink w:anchor="page44">
              <w:r>
                <w:rPr>
                  <w:rFonts w:ascii="Arial" w:cs="Arial" w:eastAsia="Arial" w:hAnsi="Arial"/>
                  <w:sz w:val="18"/>
                  <w:szCs w:val="18"/>
                  <w:b w:val="1"/>
                  <w:bCs w:val="1"/>
                  <w:color w:val="0000EE"/>
                  <w:w w:val="89"/>
                </w:rPr>
                <w:t>Quantitative and Qualitative Disclosures About Market Risk</w:t>
              </w:r>
            </w:hyperlink>
          </w:p>
        </w:tc>
        <w:tc>
          <w:tcPr>
            <w:tcW w:w="2100" w:type="dxa"/>
            <w:vAlign w:val="bottom"/>
            <w:tcBorders>
              <w:top w:val="single" w:sz="8" w:color="0000EE"/>
            </w:tcBorders>
          </w:tcPr>
          <w:p>
            <w:pPr>
              <w:spacing w:after="0"/>
              <w:rPr>
                <w:sz w:val="24"/>
                <w:szCs w:val="24"/>
                <w:color w:val="auto"/>
              </w:rPr>
            </w:pPr>
          </w:p>
        </w:tc>
        <w:tc>
          <w:tcPr>
            <w:tcW w:w="3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800" w:type="dxa"/>
            <w:vAlign w:val="bottom"/>
            <w:gridSpan w:val="19"/>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51"/>
        </w:trPr>
        <w:tc>
          <w:tcPr>
            <w:tcW w:w="110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rPr>
              <w:t>PART II. OTHER INFORMATION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800" w:type="dxa"/>
            <w:vAlign w:val="bottom"/>
            <w:gridSpan w:val="19"/>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Legal Proceedings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6"/>
              </w:rPr>
            </w:pPr>
            <w:hyperlink w:anchor="page46">
              <w:r>
                <w:rPr>
                  <w:rFonts w:ascii="Arial" w:cs="Arial" w:eastAsia="Arial" w:hAnsi="Arial"/>
                  <w:sz w:val="18"/>
                  <w:szCs w:val="18"/>
                  <w:b w:val="1"/>
                  <w:bCs w:val="1"/>
                  <w:color w:val="0000EE"/>
                  <w:w w:val="86"/>
                </w:rPr>
                <w:t>Risk Factors</w:t>
              </w:r>
            </w:hyperlink>
          </w:p>
        </w:tc>
        <w:tc>
          <w:tcPr>
            <w:tcW w:w="400" w:type="dxa"/>
            <w:vAlign w:val="bottom"/>
            <w:tcBorders>
              <w:top w:val="single" w:sz="8" w:color="0000EE"/>
            </w:tcBorders>
          </w:tcPr>
          <w:p>
            <w:pPr>
              <w:spacing w:after="0"/>
              <w:rPr>
                <w:sz w:val="24"/>
                <w:szCs w:val="24"/>
                <w:color w:val="auto"/>
              </w:rPr>
            </w:pPr>
          </w:p>
        </w:tc>
        <w:tc>
          <w:tcPr>
            <w:tcW w:w="844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460" w:type="dxa"/>
            <w:vAlign w:val="bottom"/>
            <w:tcBorders>
              <w:bottom w:val="single" w:sz="8" w:color="0000EE"/>
            </w:tcBorders>
            <w:gridSpan w:val="16"/>
          </w:tcPr>
          <w:p>
            <w:pPr>
              <w:spacing w:after="0"/>
              <w:rPr>
                <w:rFonts w:ascii="Arial" w:cs="Arial" w:eastAsia="Arial" w:hAnsi="Arial"/>
                <w:sz w:val="18"/>
                <w:szCs w:val="18"/>
                <w:b w:val="1"/>
                <w:bCs w:val="1"/>
                <w:color w:val="0000EE"/>
                <w:w w:val="85"/>
              </w:rPr>
            </w:pPr>
            <w:hyperlink w:anchor="page55">
              <w:r>
                <w:rPr>
                  <w:rFonts w:ascii="Arial" w:cs="Arial" w:eastAsia="Arial" w:hAnsi="Arial"/>
                  <w:sz w:val="18"/>
                  <w:szCs w:val="18"/>
                  <w:b w:val="1"/>
                  <w:bCs w:val="1"/>
                  <w:color w:val="0000EE"/>
                  <w:w w:val="85"/>
                </w:rPr>
                <w:t>Unregistered Sales of Equity Securities and Use of Proceeds</w:t>
              </w:r>
            </w:hyperlink>
          </w:p>
        </w:tc>
        <w:tc>
          <w:tcPr>
            <w:tcW w:w="534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800" w:type="dxa"/>
            <w:vAlign w:val="bottom"/>
            <w:gridSpan w:val="19"/>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Defaults Upon Senior Securities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800" w:type="dxa"/>
            <w:vAlign w:val="bottom"/>
            <w:gridSpan w:val="19"/>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Submission of Matters to a Vote of Security Holders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2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2"/>
              </w:rPr>
            </w:pPr>
            <w:hyperlink w:anchor="page55">
              <w:r>
                <w:rPr>
                  <w:rFonts w:ascii="Arial" w:cs="Arial" w:eastAsia="Arial" w:hAnsi="Arial"/>
                  <w:sz w:val="18"/>
                  <w:szCs w:val="18"/>
                  <w:b w:val="1"/>
                  <w:bCs w:val="1"/>
                  <w:color w:val="0000EE"/>
                  <w:w w:val="92"/>
                </w:rPr>
                <w:t>Other Information</w:t>
              </w:r>
            </w:hyperlink>
          </w:p>
        </w:tc>
        <w:tc>
          <w:tcPr>
            <w:tcW w:w="2460" w:type="dxa"/>
            <w:vAlign w:val="bottom"/>
            <w:tcBorders>
              <w:top w:val="single" w:sz="8" w:color="0000EE"/>
            </w:tcBorders>
            <w:gridSpan w:val="8"/>
          </w:tcPr>
          <w:p>
            <w:pPr>
              <w:spacing w:after="0"/>
              <w:rPr>
                <w:sz w:val="24"/>
                <w:szCs w:val="24"/>
                <w:color w:val="auto"/>
              </w:rPr>
            </w:pPr>
          </w:p>
        </w:tc>
        <w:tc>
          <w:tcPr>
            <w:tcW w:w="592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800" w:type="dxa"/>
            <w:vAlign w:val="bottom"/>
            <w:gridSpan w:val="19"/>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0" w:type="dxa"/>
            <w:vAlign w:val="bottom"/>
            <w:gridSpan w:val="1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800" w:type="dxa"/>
            <w:vAlign w:val="bottom"/>
            <w:tcBorders>
              <w:bottom w:val="single" w:sz="8" w:color="0000EE"/>
            </w:tcBorders>
            <w:gridSpan w:val="3"/>
          </w:tcPr>
          <w:p>
            <w:pPr>
              <w:spacing w:after="0"/>
              <w:rPr>
                <w:rFonts w:ascii="Arial" w:cs="Arial" w:eastAsia="Arial" w:hAnsi="Arial"/>
                <w:sz w:val="18"/>
                <w:szCs w:val="18"/>
                <w:b w:val="1"/>
                <w:bCs w:val="1"/>
                <w:color w:val="0000EE"/>
                <w:w w:val="83"/>
              </w:rPr>
            </w:pPr>
            <w:hyperlink w:anchor="page57">
              <w:r>
                <w:rPr>
                  <w:rFonts w:ascii="Arial" w:cs="Arial" w:eastAsia="Arial" w:hAnsi="Arial"/>
                  <w:sz w:val="18"/>
                  <w:szCs w:val="18"/>
                  <w:b w:val="1"/>
                  <w:bCs w:val="1"/>
                  <w:color w:val="0000EE"/>
                  <w:w w:val="83"/>
                </w:rPr>
                <w:t>Signatures</w:t>
              </w:r>
            </w:hyperlink>
          </w:p>
        </w:tc>
        <w:tc>
          <w:tcPr>
            <w:tcW w:w="9000" w:type="dxa"/>
            <w:vAlign w:val="bottom"/>
            <w:gridSpan w:val="1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83"/>
        </w:trPr>
        <w:tc>
          <w:tcPr>
            <w:tcW w:w="1100" w:type="dxa"/>
            <w:vAlign w:val="bottom"/>
          </w:tcPr>
          <w:p>
            <w:pPr>
              <w:spacing w:after="0"/>
              <w:rPr>
                <w:sz w:val="24"/>
                <w:szCs w:val="24"/>
                <w:color w:val="auto"/>
              </w:rPr>
            </w:pPr>
          </w:p>
        </w:tc>
        <w:tc>
          <w:tcPr>
            <w:tcW w:w="6660" w:type="dxa"/>
            <w:vAlign w:val="bottom"/>
            <w:gridSpan w:val="18"/>
          </w:tcPr>
          <w:p>
            <w:pPr>
              <w:ind w:left="4580"/>
              <w:spacing w:after="0"/>
              <w:rPr>
                <w:sz w:val="20"/>
                <w:szCs w:val="20"/>
                <w:color w:val="auto"/>
              </w:rPr>
            </w:pPr>
            <w:r>
              <w:rPr>
                <w:rFonts w:ascii="Arial" w:cs="Arial" w:eastAsia="Arial" w:hAnsi="Arial"/>
                <w:sz w:val="18"/>
                <w:szCs w:val="18"/>
                <w:color w:val="auto"/>
              </w:rPr>
              <w:t>2</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0"/>
              </w:rPr>
              <w:t>Three months ended</w:t>
            </w:r>
          </w:p>
        </w:tc>
        <w:tc>
          <w:tcPr>
            <w:tcW w:w="15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July 31,</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License and other</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231.0</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440.2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$474.6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179.3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860"/>
              <w:spacing w:after="0"/>
              <w:rPr>
                <w:sz w:val="20"/>
                <w:szCs w:val="20"/>
                <w:color w:val="auto"/>
              </w:rPr>
            </w:pPr>
            <w:r>
              <w:rPr>
                <w:rFonts w:ascii="Arial" w:cs="Arial" w:eastAsia="Arial" w:hAnsi="Arial"/>
                <w:sz w:val="18"/>
                <w:szCs w:val="18"/>
                <w:color w:val="auto"/>
              </w:rPr>
              <w:t>Total net revenue</w:t>
            </w: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vMerge w:val="continue"/>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414.9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619.5</w:t>
            </w:r>
          </w:p>
        </w:tc>
        <w:tc>
          <w:tcPr>
            <w:tcW w:w="500" w:type="dxa"/>
            <w:vAlign w:val="bottom"/>
          </w:tcPr>
          <w:p>
            <w:pPr>
              <w:jc w:val="right"/>
              <w:spacing w:after="0"/>
              <w:rPr>
                <w:sz w:val="20"/>
                <w:szCs w:val="20"/>
                <w:color w:val="auto"/>
              </w:rPr>
            </w:pPr>
            <w:r>
              <w:rPr>
                <w:rFonts w:ascii="Arial" w:cs="Arial" w:eastAsia="Arial" w:hAnsi="Arial"/>
                <w:sz w:val="18"/>
                <w:szCs w:val="18"/>
                <w:color w:val="auto"/>
              </w:rPr>
              <w:t>840.7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Cost of license and other revenue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57.6</w:t>
            </w:r>
          </w:p>
        </w:tc>
        <w:tc>
          <w:tcPr>
            <w:tcW w:w="500" w:type="dxa"/>
            <w:vAlign w:val="bottom"/>
          </w:tcPr>
          <w:p>
            <w:pPr>
              <w:jc w:val="right"/>
              <w:spacing w:after="0"/>
              <w:rPr>
                <w:sz w:val="20"/>
                <w:szCs w:val="20"/>
                <w:color w:val="auto"/>
              </w:rPr>
            </w:pPr>
            <w:r>
              <w:rPr>
                <w:rFonts w:ascii="Arial" w:cs="Arial" w:eastAsia="Arial" w:hAnsi="Arial"/>
                <w:sz w:val="18"/>
                <w:szCs w:val="18"/>
                <w:color w:val="auto"/>
              </w:rPr>
              <w:t>96.6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maintenance revenue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59.7</w:t>
            </w:r>
          </w:p>
        </w:tc>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559.8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230.2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154.8</w:t>
            </w:r>
          </w:p>
        </w:tc>
        <w:tc>
          <w:tcPr>
            <w:tcW w:w="500" w:type="dxa"/>
            <w:vAlign w:val="bottom"/>
          </w:tcPr>
          <w:p>
            <w:pPr>
              <w:jc w:val="right"/>
              <w:spacing w:after="0"/>
              <w:rPr>
                <w:sz w:val="20"/>
                <w:szCs w:val="20"/>
                <w:color w:val="auto"/>
              </w:rPr>
            </w:pPr>
            <w:r>
              <w:rPr>
                <w:rFonts w:ascii="Arial" w:cs="Arial" w:eastAsia="Arial" w:hAnsi="Arial"/>
                <w:sz w:val="18"/>
                <w:szCs w:val="18"/>
                <w:color w:val="auto"/>
              </w:rPr>
              <w:t>231.4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362.1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441.0</w:t>
            </w:r>
          </w:p>
        </w:tc>
        <w:tc>
          <w:tcPr>
            <w:tcW w:w="500" w:type="dxa"/>
            <w:vAlign w:val="bottom"/>
          </w:tcPr>
          <w:p>
            <w:pPr>
              <w:jc w:val="right"/>
              <w:spacing w:after="0"/>
              <w:rPr>
                <w:sz w:val="20"/>
                <w:szCs w:val="20"/>
                <w:color w:val="auto"/>
              </w:rPr>
            </w:pPr>
            <w:r>
              <w:rPr>
                <w:rFonts w:ascii="Arial" w:cs="Arial" w:eastAsia="Arial" w:hAnsi="Arial"/>
                <w:sz w:val="18"/>
                <w:szCs w:val="18"/>
                <w:color w:val="auto"/>
              </w:rPr>
              <w:t>755.1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118.8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125.1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(35.3)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(21.7)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(loss) per share</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2"/>
            <w:vMerge w:val="continue"/>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0.40</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 (0.09)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basic net income (loss) per share</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224.2</w:t>
            </w:r>
          </w:p>
        </w:tc>
        <w:tc>
          <w:tcPr>
            <w:tcW w:w="500" w:type="dxa"/>
            <w:vAlign w:val="bottom"/>
          </w:tcPr>
          <w:p>
            <w:pPr>
              <w:jc w:val="right"/>
              <w:spacing w:after="0"/>
              <w:rPr>
                <w:sz w:val="20"/>
                <w:szCs w:val="20"/>
                <w:color w:val="auto"/>
              </w:rPr>
            </w:pPr>
            <w:r>
              <w:rPr>
                <w:rFonts w:ascii="Arial" w:cs="Arial" w:eastAsia="Arial" w:hAnsi="Arial"/>
                <w:sz w:val="18"/>
                <w:szCs w:val="18"/>
                <w:color w:val="auto"/>
              </w:rPr>
              <w:t>228.0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(loss) per share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231.1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5"/>
              </w:rPr>
              <w:t>July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(Unaudited)</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267.9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1,267.3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1,388.0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118.3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525.5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Long term deferred income taxes, net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2,311.1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26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Borrowings under line of credit</w:t>
            </w:r>
          </w:p>
        </w:tc>
        <w:tc>
          <w:tcPr>
            <w:tcW w:w="120" w:type="dxa"/>
            <w:vAlign w:val="bottom"/>
          </w:tcPr>
          <w:p>
            <w:pPr>
              <w:spacing w:after="0"/>
              <w:rPr>
                <w:sz w:val="18"/>
                <w:szCs w:val="18"/>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661.7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Long term income taxes payable</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Long term deferred income taxes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Common stock and additional paid-in capital</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1,166.6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1,385.1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2,311.1</w:t>
            </w:r>
          </w:p>
        </w:tc>
        <w:tc>
          <w:tcPr>
            <w:tcW w:w="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55.5</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Restructuring related charges, net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goodwill</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Gain on disposition of assets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Charge for acquired in-process research and development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(65.3)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(298.2)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Sales of marketable securities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marketable securities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equity investment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Business combinations, net of cash acquired</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(316.8)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Draws on line of credit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Repayments of line of credit</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(54.3)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net of issuance costs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30"/>
        </w:trPr>
        <w:tc>
          <w:tcPr>
            <w:tcW w:w="97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(249.1)</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917.6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668.5</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20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Autodesk, Inc. (“Autodesk” or the “Company”) as of July 31, 2009, and for the three and six months ended July 31, 2009,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has made all adjustments (consisting of normal, recurring and non-recurring adjustments) during the quarter that were considered necessary for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These estimates are based on information available as of the date of the unaudited Condensed Consolidated Financial Statements. Actual results could differ from those estimates. In addition, the results of operations for the three months ended July 31, 2009 are not necessarily indicative of the results for the entire fiscal year ending January 31, 2010,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2009 (the “2009 Form 10-K”) filed on March 20, 2009.</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 and Corrections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quarter ended April 30, 2009, certain operating expenses were misclassified in the statement of operations. For the six month period ended July 31, 2009, these expenses have been corrected in the statement of operations, which included reclassifying expenses from marketing and sales, and research and development to general and administrative expenses. The net of these changes are as follows:</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Increase (decrease)</w:t>
            </w:r>
          </w:p>
        </w:tc>
      </w:tr>
      <w:tr>
        <w:trPr>
          <w:trHeight w:val="149"/>
        </w:trPr>
        <w:tc>
          <w:tcPr>
            <w:tcW w:w="4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to expense for the</w:t>
            </w:r>
          </w:p>
        </w:tc>
      </w:tr>
      <w:tr>
        <w:trPr>
          <w:trHeight w:val="149"/>
        </w:trPr>
        <w:tc>
          <w:tcPr>
            <w:tcW w:w="4200" w:type="dxa"/>
            <w:vAlign w:val="bottom"/>
          </w:tcPr>
          <w:p>
            <w:pPr>
              <w:spacing w:after="0"/>
              <w:rPr>
                <w:sz w:val="12"/>
                <w:szCs w:val="12"/>
                <w:color w:val="auto"/>
              </w:rPr>
            </w:pPr>
          </w:p>
        </w:tc>
        <w:tc>
          <w:tcPr>
            <w:tcW w:w="3560" w:type="dxa"/>
            <w:vAlign w:val="bottom"/>
            <w:gridSpan w:val="4"/>
          </w:tcPr>
          <w:p>
            <w:pPr>
              <w:jc w:val="center"/>
              <w:ind w:left="2082"/>
              <w:spacing w:after="0" w:line="149" w:lineRule="exact"/>
              <w:rPr>
                <w:sz w:val="20"/>
                <w:szCs w:val="20"/>
                <w:color w:val="auto"/>
              </w:rPr>
            </w:pPr>
            <w:r>
              <w:rPr>
                <w:rFonts w:ascii="Arial" w:cs="Arial" w:eastAsia="Arial" w:hAnsi="Arial"/>
                <w:sz w:val="14"/>
                <w:szCs w:val="14"/>
                <w:b w:val="1"/>
                <w:bCs w:val="1"/>
                <w:color w:val="auto"/>
                <w:w w:val="87"/>
              </w:rPr>
              <w:t>fiscal quarter ended</w:t>
            </w:r>
          </w:p>
        </w:tc>
      </w:tr>
      <w:tr>
        <w:trPr>
          <w:trHeight w:val="161"/>
        </w:trPr>
        <w:tc>
          <w:tcPr>
            <w:tcW w:w="4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8"/>
              </w:rPr>
              <w:t>April 30, 2009</w:t>
            </w:r>
          </w:p>
        </w:tc>
        <w:tc>
          <w:tcPr>
            <w:tcW w:w="120" w:type="dxa"/>
            <w:vAlign w:val="bottom"/>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reclassifications to segment gross profit have been made to prior year amounts to conform to the current presentation. See Note 18, “Segments” for additional information regarding these reclassifications.</w:t>
      </w:r>
    </w:p>
    <w:p>
      <w:pPr>
        <w:spacing w:after="0" w:line="25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With the exception of those discussed below, there have been no recent accounting pronouncements or changes in accounting pronouncements during the six months ended July 31, 2009, as compared to the accounting pronouncements described in Autodesk’s Annual Report on Form 10-K for the fiscal year ended January 31, 2009, that are of significance, or potential significance, to the Company.</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April 2009, the Financial Accounting Standards Board (“FASB”) issued three related FASB Staff Positions (“FSP”): (i) FSP 157-4, Determining Fair Value When the Volume and Level of Activity for the Asset or Liability have Significantly Decreased and Identifying Transactions That Are Not Orderly (“FSP 157-4”), (ii) FSP Statement of Financial Accounting Standard (“SFAS”) 115-2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and SFAS 124-2, Recognition and Presentation of Other-Than-Temporary Impairments, (“FSP SFAS 115-2” and “SFAS 124-2”), and (iii) FSP SFAS 107-1 and Accounting Principles Board (“APB”) 28-1, Interim Disclosures about Fair Value of Financial Instruments, (“FSP SFAS 107” and “APB 28-1”). FSP 157-4 provides guidance on how to determine the fair value of assets and liabilities under SFAS 157, “Fair Value Measurements” (“SFAS 157”) in the current economic environment and reemphasizes that the objective of a fair value measurement remains the determination of an exit price. If Autodesk were to conclude that there has been a significant decrease in the volume and level of activity of the asset or liability in relation to normal market activities, quoted market values may not be representative of fair value and the Company may conclude that a change in valuation technique or the use of multiple valuation techniques may be appropriate. FSP SFAS 115-2 and SFAS 124-2 modify the requirements for recognizing other-than-temporarily impaired debt securities and revise the existing impairment model for such securities by modifying the current intent and ability indicator in determining whether a debt security is other-than-temporarily impaired. FSP SFAS 107 and APB 28-1 enhance the disclosure of instruments under the scope of SFAS 157 for both interim and annual periods. Autodesk adopted these FSPs during the quarter ended July 31, 2009. The adoption did not have a material effect on the Company’s consolidated financial position, results of operations or cash flows.</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May 2009, the FASB issued SFAS 165 “Subsequent Events.” SFAS 165 establishes general standards of accounting for and disclosure of events that occur after the balance sheet date but before financial statements are issued or are available to be issued. Autodesk adopted the provisions of SFAS 165 during the quarter ended July 31, 2009. Since SFAS 165 only requires additional disclosures, the adoption did not have an impact on Autodesk’s consolidated financial position, results of operations or cash flows. Autodesk has evaluated, and disclosed as appropriate, subsequent events through August 28, 2009, which represents the date the financial statements were issued.</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June 2009, the FASB issued The FASB Accounting Standards Codification and the Hierarchy of Generally Accepted Accounting Principles (“SFAS 168”). This statement, which became effective on July 1, 2009, establishes the Codification as the source of authoritative GAAP recognized by the FASB to be applied by nongovernmental entities. The Codification does not change GAAP, but instead reorganizes the U.S. GAAP pronouncements into accounting Topics. As the Codification did not change GAAP, the adoption of SFAS 168 will not have a material effect on Autodesk’s consolidated financial position, results of operations or cash flows. Previous references to applicable literature in Autodesk’s disclosures will be updated with references to the new Codification section in the Company’s Form 10-Q for the quarter ended October 31, 2009.</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June 2009, the FASB issued SFAS 166, “Accounting for Transfers of Financial Assets-an amendment of FASB Statement No. 140” and SFAS 167, “Amendments to FASB Interpretation No. 46(R),” which update accounting for securitizations and special-purpose entities. SFAS 166 eliminates the concept of a “qualifying special-purpose entity,” changes the requirements for derecognizing financial assets and requires additional disclosures. SFAS 167 amends the evaluation criteria to identify the primary beneficiary of a variable interest entity provided by FASB Interpretation No. 46(R), “Consolidation of Variable Interest Entities—An Interpretation of ARB No. 51.” This statement also amends the consolidation guidance applicable to variable interest entities. Additionally, SFAS 167 requires ongoing reassessments of whether an enterprise is the primary beneficiary of the variable interest entity. These statements will be effective for Autodesk’s fiscal year beginning February 1, 2010. Autodesk does not believe that the adoption of SFAS 166 or 167 will have a material effect on its consolidated financial position, results of operations and cash flows.</w:t>
      </w:r>
    </w:p>
    <w:p>
      <w:pPr>
        <w:spacing w:after="0" w:line="24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 of Credit Risks and Significant Customers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It is Autodesk’s policy that its cash, cash equivalents and marketable securities are held with, and in the custody of, financial institutions with high credit standing. Autodesk’s cash and cash equivalents are held by diversified institutions globally. Autodesk’s primary commercial banking relationship is with Citibank and its global affiliates (“Citibank”). In addition, Citicorp USA, Inc., an affiliate of Citibank, is the lead lender and agent in the syndicate of the Company’s $250.0 million U.S. line of credit. It is Autodesk’s policy to limit the amounts invested with any one institution by type of security and issuer.</w:t>
      </w:r>
    </w:p>
    <w:p>
      <w:pPr>
        <w:spacing w:after="0" w:line="11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Total sales to the distributors Tech Data Corporation and its global affiliates (“Tech Data”) accounted for 14% of Autodesk’s consolidated net revenue for the three months ended July 31, 2009 and 2008. Sales to Tech Data represented 14% and 15% of Autodesk’s consolidated net revenue for the six months ended July 31, 2009 and 2008, respectively. The majority of the net revenue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from sales to Tech Data relates to Autodesk’s Platform Solutions and Emerging Business segment and comes from outside the U.S. In addition, Tech Data accounted for 16% and 12% of gross accounts receivable at July 31, 2009 and January 31, 2009, respectively.</w:t>
      </w:r>
    </w:p>
    <w:p>
      <w:pPr>
        <w:spacing w:after="0" w:line="254" w:lineRule="exact"/>
        <w:rPr>
          <w:sz w:val="20"/>
          <w:szCs w:val="20"/>
          <w:color w:val="auto"/>
        </w:rPr>
      </w:pPr>
    </w:p>
    <w:p>
      <w:pPr>
        <w:ind w:left="240" w:right="7640" w:hanging="232"/>
        <w:spacing w:after="0" w:line="344" w:lineRule="auto"/>
        <w:tabs>
          <w:tab w:leader="none" w:pos="45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Instruments and Hedging Activities </w:t>
      </w:r>
      <w:r>
        <w:rPr>
          <w:rFonts w:ascii="Arial" w:cs="Arial" w:eastAsia="Arial" w:hAnsi="Arial"/>
          <w:sz w:val="18"/>
          <w:szCs w:val="18"/>
          <w:i w:val="1"/>
          <w:iCs w:val="1"/>
          <w:color w:val="auto"/>
        </w:rPr>
        <w:t>Financial Instruments</w:t>
      </w:r>
    </w:p>
    <w:p>
      <w:pPr>
        <w:spacing w:after="0" w:line="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Market values were determined for each individual security in the investment portfolio. The cost and fair value of Autodesk’s financial instruments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4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July 31, 2009</w:t>
            </w:r>
          </w:p>
        </w:tc>
        <w:tc>
          <w:tcPr>
            <w:tcW w:w="340" w:type="dxa"/>
            <w:vAlign w:val="bottom"/>
          </w:tcPr>
          <w:p>
            <w:pPr>
              <w:spacing w:after="0"/>
              <w:rPr>
                <w:sz w:val="14"/>
                <w:szCs w:val="14"/>
                <w:color w:val="auto"/>
              </w:rPr>
            </w:pPr>
          </w:p>
        </w:tc>
        <w:tc>
          <w:tcPr>
            <w:tcW w:w="1460" w:type="dxa"/>
            <w:vAlign w:val="bottom"/>
            <w:gridSpan w:val="5"/>
          </w:tcPr>
          <w:p>
            <w:pPr>
              <w:ind w:left="220"/>
              <w:spacing w:after="0"/>
              <w:rPr>
                <w:sz w:val="20"/>
                <w:szCs w:val="20"/>
                <w:color w:val="auto"/>
              </w:rPr>
            </w:pPr>
            <w:r>
              <w:rPr>
                <w:rFonts w:ascii="Arial" w:cs="Arial" w:eastAsia="Arial" w:hAnsi="Arial"/>
                <w:sz w:val="14"/>
                <w:szCs w:val="14"/>
                <w:b w:val="1"/>
                <w:bCs w:val="1"/>
                <w:color w:val="auto"/>
              </w:rPr>
              <w:t>January 31, 2009</w:t>
            </w:r>
          </w:p>
        </w:tc>
      </w:tr>
      <w:tr>
        <w:trPr>
          <w:trHeight w:val="142"/>
        </w:trPr>
        <w:tc>
          <w:tcPr>
            <w:tcW w:w="5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Cost</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Fair Value</w:t>
            </w:r>
          </w:p>
        </w:tc>
        <w:tc>
          <w:tcPr>
            <w:tcW w:w="3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20" w:type="dxa"/>
            <w:vAlign w:val="bottom"/>
          </w:tcPr>
          <w:p>
            <w:pPr>
              <w:spacing w:after="0"/>
              <w:rPr>
                <w:sz w:val="12"/>
                <w:szCs w:val="12"/>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$668.5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668.5</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917.6</w:t>
            </w:r>
          </w:p>
        </w:tc>
        <w:tc>
          <w:tcPr>
            <w:tcW w:w="20" w:type="dxa"/>
            <w:vAlign w:val="bottom"/>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Marketable securities - short-term</w:t>
            </w:r>
          </w:p>
        </w:tc>
        <w:tc>
          <w:tcPr>
            <w:tcW w:w="3720" w:type="dxa"/>
            <w:vAlign w:val="bottom"/>
            <w:gridSpan w:val="3"/>
          </w:tcPr>
          <w:p>
            <w:pPr>
              <w:jc w:val="right"/>
              <w:ind w:right="320"/>
              <w:spacing w:after="0"/>
              <w:rPr>
                <w:sz w:val="20"/>
                <w:szCs w:val="20"/>
                <w:color w:val="auto"/>
              </w:rPr>
            </w:pPr>
            <w:r>
              <w:rPr>
                <w:rFonts w:ascii="Arial" w:cs="Arial" w:eastAsia="Arial" w:hAnsi="Arial"/>
                <w:sz w:val="18"/>
                <w:szCs w:val="18"/>
                <w:color w:val="auto"/>
              </w:rPr>
              <w:t>277.6</w:t>
            </w:r>
          </w:p>
        </w:tc>
        <w:tc>
          <w:tcPr>
            <w:tcW w:w="620" w:type="dxa"/>
            <w:vAlign w:val="bottom"/>
          </w:tcPr>
          <w:p>
            <w:pPr>
              <w:jc w:val="right"/>
              <w:spacing w:after="0"/>
              <w:rPr>
                <w:sz w:val="20"/>
                <w:szCs w:val="20"/>
                <w:color w:val="auto"/>
              </w:rPr>
            </w:pPr>
            <w:r>
              <w:rPr>
                <w:rFonts w:ascii="Arial" w:cs="Arial" w:eastAsia="Arial" w:hAnsi="Arial"/>
                <w:sz w:val="18"/>
                <w:szCs w:val="18"/>
                <w:color w:val="auto"/>
              </w:rPr>
              <w:t>267.9</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68.0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long-term</w:t>
            </w:r>
          </w:p>
        </w:tc>
        <w:tc>
          <w:tcPr>
            <w:tcW w:w="3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93.6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Foreign currency option contracts</w:t>
            </w:r>
          </w:p>
        </w:tc>
        <w:tc>
          <w:tcPr>
            <w:tcW w:w="3720" w:type="dxa"/>
            <w:vAlign w:val="bottom"/>
            <w:gridSpan w:val="3"/>
          </w:tcPr>
          <w:p>
            <w:pPr>
              <w:jc w:val="right"/>
              <w:ind w:right="320"/>
              <w:spacing w:after="0"/>
              <w:rPr>
                <w:sz w:val="20"/>
                <w:szCs w:val="20"/>
                <w:color w:val="auto"/>
              </w:rPr>
            </w:pPr>
            <w:r>
              <w:rPr>
                <w:rFonts w:ascii="Arial" w:cs="Arial" w:eastAsia="Arial" w:hAnsi="Arial"/>
                <w:sz w:val="18"/>
                <w:szCs w:val="18"/>
                <w:color w:val="auto"/>
              </w:rPr>
              <w:t>0.3</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maturities of less than 12 months are classified as short-term and marketable securities with maturities greater than 12 months are classified as long-term. Autodesk may sell certain of its marketable securities prior to their stated maturities for strategic purposes, in anticipation of credit deterioration, or for duration management.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Marketable securities include the following securities at July 31, 2009 and January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July 31, 2009</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95.8</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Available-for-sale equity securities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Short-term trading securities: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Mutual funds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277.6</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Long-term available-for-sale securities: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(0.1)</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Taxable auction-rate securities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93.6</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0.2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(1.5)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360.2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January 31, 2009</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Short-term:</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Mutual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57.7</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(4.5)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time deposits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68.0</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(4.5)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Taxable auction-rate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(1.4)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(1.4)</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sales of available-for-sale securities resulted in no gross gains/losses during the three and six month periods ended July 31, 2009 and 2008. The cost of securities sold is based on the specific identification method. Proceeds from the sale and maturity of the marketable securities were $15.7 and $4.7 million in the six months ended July 31, 2009 and 2008, respectively.</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At July 31, 2009, Autodesk was invested in two money market funds with an estimated fair value of $18.0 million and cost basis of $22.5 million, of which $17.0 million was invested in The Reserve International Liquidity Fund (the “International Fund”) and $1.0 million was invested in The Reserve Primary Fund (the “Primary Fund,” and together with the International Fund, “Reserve Funds”). In mid-September of 2008, the Reserve Funds ceased redemptions after net asset values of the funds decreased below $1 per share. This occurred as a result of the Reserve Funds revaluing their holdings of debt securities issued by Lehman Brothers Holdings, Inc. (“Lehman Brothers”), which filed for Chapter 11 bankruptcy on September 15, 2008, and the resulting unusually high redemption requests on the Reserve Funds.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SEC is overseeing the administration, accounting and payout of the U.S.-based Primary Fund, and a third party court appointed supervisor is overseeing, but not managing, the accounting and payment administration of the non U.S.-based International Fund. At this time, these investments are not currently liquid, and in the event Autodesk needs to access these funds, the Company will not be able to do so. However, based on currently available information, Autodesk expects to recover substantially all of its current holdings, net of reserves, from the Reserve Funds within the next 12 months. Accordingly, the Reserve Funds are classified in current “Marketable Securities” on the Company’s Condensed Consolidated Balance Sheets.</w:t>
      </w:r>
    </w:p>
    <w:p>
      <w:pPr>
        <w:spacing w:after="0" w:line="1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At July 31, 2009, Autodesk owned two auction rate securities with an estimated fair value of $7.6 million and a cost basis of $9.0 million. Autodesk’s auction rate securities are variable rate debt instruments that have underlying securities with contractual maturities greater than ten years and interest rates that were structured to reset at auction every 28 days. The securities, which met Autodesk’s investment guidelines at the time the investments were made, have failed to settle in auctions since August 2007 and have earned a premium interest rate since that time. While Autodesk expects to recover substantially all of its current holdings, net of reserves, in the auction rate securities, it cannot predict when this will occur or the amount the Company will receive. Due to the lack of liquidity of these investments, they are included in non-current “Marketable securities” on the accompanying Condensed Consolidated Balance Sheets. The Company will continue to evaluate its accounting for these investments quarterly.</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At July 31, 2009, Autodesk’s short-term investment portfolio included $25.9 million of trading securities invested in a defined set of mutual funds as directed by the participants in the Company’s Deferred Compensation Plan (see Note 9, “Deferred Compensation”).</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following table shows the gross unrealized losses and fair value for investments in an unrealized loss position as of July 31, 2009 and January 31, 2009, aggregated by investment category and length of time that the individual securities have been in a continuous loss position: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85"/>
              </w:rPr>
              <w:t>July 31, 2009</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5"/>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Less Than 12 Months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5"/>
          </w:tcPr>
          <w:p>
            <w:pPr>
              <w:jc w:val="center"/>
              <w:ind w:right="520"/>
              <w:spacing w:after="0" w:line="142" w:lineRule="exact"/>
              <w:rPr>
                <w:sz w:val="20"/>
                <w:szCs w:val="20"/>
                <w:color w:val="auto"/>
              </w:rPr>
            </w:pPr>
            <w:r>
              <w:rPr>
                <w:rFonts w:ascii="Arial" w:cs="Arial" w:eastAsia="Arial" w:hAnsi="Arial"/>
                <w:sz w:val="14"/>
                <w:szCs w:val="14"/>
                <w:b w:val="1"/>
                <w:bCs w:val="1"/>
                <w:color w:val="auto"/>
                <w:w w:val="89"/>
              </w:rPr>
              <w:t>12 Months or Greater</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Unrealized</w:t>
            </w:r>
          </w:p>
        </w:tc>
        <w:tc>
          <w:tcPr>
            <w:tcW w:w="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Unrealized</w:t>
            </w:r>
          </w:p>
        </w:tc>
        <w:tc>
          <w:tcPr>
            <w:tcW w:w="3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Fair Value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w w:val="78"/>
              </w:rPr>
              <w:t>Losses</w:t>
            </w:r>
          </w:p>
        </w:tc>
        <w:tc>
          <w:tcPr>
            <w:tcW w:w="3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and corporate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Taxable auction-rate securities</w:t>
            </w:r>
          </w:p>
        </w:tc>
        <w:tc>
          <w:tcPr>
            <w:tcW w:w="14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79"/>
              </w:rPr>
              <w:t>7.6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87"/>
              </w:rPr>
              <w:t>January 31, 2009</w:t>
            </w: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5"/>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Less Than 12 Months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5"/>
          </w:tcPr>
          <w:p>
            <w:pPr>
              <w:jc w:val="center"/>
              <w:ind w:right="520"/>
              <w:spacing w:after="0" w:line="142" w:lineRule="exact"/>
              <w:rPr>
                <w:sz w:val="20"/>
                <w:szCs w:val="20"/>
                <w:color w:val="auto"/>
              </w:rPr>
            </w:pPr>
            <w:r>
              <w:rPr>
                <w:rFonts w:ascii="Arial" w:cs="Arial" w:eastAsia="Arial" w:hAnsi="Arial"/>
                <w:sz w:val="14"/>
                <w:szCs w:val="14"/>
                <w:b w:val="1"/>
                <w:bCs w:val="1"/>
                <w:color w:val="auto"/>
                <w:w w:val="89"/>
              </w:rPr>
              <w:t>12 Months or Greater</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Unrealized</w:t>
            </w:r>
          </w:p>
        </w:tc>
        <w:tc>
          <w:tcPr>
            <w:tcW w:w="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Unrealized</w:t>
            </w:r>
          </w:p>
        </w:tc>
        <w:tc>
          <w:tcPr>
            <w:tcW w:w="3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Fair Value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w w:val="78"/>
              </w:rPr>
              <w:t>Losses</w:t>
            </w:r>
          </w:p>
        </w:tc>
        <w:tc>
          <w:tcPr>
            <w:tcW w:w="3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Taxable auction-rate securities</w:t>
            </w:r>
          </w:p>
        </w:tc>
        <w:tc>
          <w:tcPr>
            <w:tcW w:w="14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79"/>
              </w:rPr>
              <w:t>7.6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Under its risk management strategy, Autodesk uses derivative instruments to manage its short-term exposures to fluctuations in foreign currency exchange rates which exist as part of ongoing international business operations. Autodesk’s general practice is to use two types of derivative instruments, option collar and forward contracts, to hedge a majority of transaction exposures denominated in euros, Japanese yen, Swiss francs, British pounds and Canadian dollars. These instruments have maturities between one to 12 months in the future. Autodesk does not enter into any derivative instruments for trading or speculative purposes.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Hedges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Autodesk utilizes purchased foreign currency option collar and forward contracts to reduce the exchange rate impact on a portion of the net revenue or operating expense of certain anticipated transactions. These option collar and forward contracts, which are designated and documented as cash flow hedges, qualify for special hedge accounting treatment under SFAS 133, “Accounting for Derivative Instruments and Hedging Activities” (“SFAS 133”). The effectiveness of the cash flow hedge contracts is assessed quarterly using regression as well as other timing and probability criteria required by SFAS 133. For cash flow hedges designated for the quarter ending April 30, 2009, time value was excluded from the assessment of hedge effectiveness. Changes in the excluded time value component of hedges designated for the quarter ended April 30, 2009 were reported in “Interest and other income, net” in the Company’s Condensed Consolidated Statements of Operations. For cash flow hedges designated for periods after April 30, 2009, time value is included in the assessment of hedge effectiveness and changes in the time value of these derivatives are recorded in “Accumulated other comprehensive loss” in the Company’s Condensed Consolidated Balance Sheets. To receive special hedge accounting treatment, all hedging relationships are formally documented at the inception of the hedge and the hedges are expected to be highly effective in offsetting changes to future cash flows on hedged transactions. The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income, net” in the Company’s Condensed Consolidated Financial Statements at that time.</w:t>
      </w:r>
    </w:p>
    <w:p>
      <w:pPr>
        <w:spacing w:after="0" w:line="12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notional amount of these contracts was $136.2 million at July 31, 2009 and $276.7 million at January 31, 2009. In accordance with SFAS 133, outstanding contracts are recognized as either assets or liabilities on the balance sheet at fair value.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Balance Sheet Hedges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addition to the cash flow hedges described above, forward contracts, which are not designated as hedging instruments under SFAS 133, are used to reduce the exchange rate risk associated primarily with receivables and payables. Forward contracts are marked-to-market at the end of each reporting period, with gains and losses recognized as other income or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notional amounts of foreign currency contracts were $22.1 million at July 31, 2009 and $28.3 million at January 31, 2009.</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effects of derivative instruments on Autodesk’s condensed consolidated financial statements were as follows as of July 31, 2009 and for the three and six months then ended (amounts presented include any income tax effects):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Derivative Instruments in Condensed Consolidated Balance Sheet as of July 31, 2009</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Derivative Assets</w:t>
            </w:r>
          </w:p>
        </w:tc>
        <w:tc>
          <w:tcPr>
            <w:tcW w:w="320" w:type="dxa"/>
            <w:vAlign w:val="bottom"/>
          </w:tcPr>
          <w:p>
            <w:pPr>
              <w:spacing w:after="0"/>
              <w:rPr>
                <w:sz w:val="15"/>
                <w:szCs w:val="15"/>
                <w:color w:val="auto"/>
              </w:rPr>
            </w:pPr>
          </w:p>
        </w:tc>
        <w:tc>
          <w:tcPr>
            <w:tcW w:w="16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Derivative Liabilities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6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5"/>
              </w:rPr>
              <w:t>Balance Sheet</w:t>
            </w:r>
          </w:p>
        </w:tc>
        <w:tc>
          <w:tcPr>
            <w:tcW w:w="320" w:type="dxa"/>
            <w:vAlign w:val="bottom"/>
          </w:tcPr>
          <w:p>
            <w:pPr>
              <w:spacing w:after="0"/>
              <w:rPr>
                <w:sz w:val="11"/>
                <w:szCs w:val="11"/>
                <w:color w:val="auto"/>
              </w:rPr>
            </w:pPr>
          </w:p>
        </w:tc>
        <w:tc>
          <w:tcPr>
            <w:tcW w:w="3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4"/>
                <w:szCs w:val="14"/>
                <w:b w:val="1"/>
                <w:bCs w:val="1"/>
                <w:color w:val="auto"/>
                <w:w w:val="87"/>
              </w:rPr>
              <w:t>Balance Sheet</w:t>
            </w:r>
          </w:p>
        </w:tc>
        <w:tc>
          <w:tcPr>
            <w:tcW w:w="320" w:type="dxa"/>
            <w:vAlign w:val="bottom"/>
          </w:tcPr>
          <w:p>
            <w:pPr>
              <w:spacing w:after="0"/>
              <w:rPr>
                <w:sz w:val="11"/>
                <w:szCs w:val="11"/>
                <w:color w:val="auto"/>
              </w:rPr>
            </w:pPr>
          </w:p>
        </w:tc>
        <w:tc>
          <w:tcPr>
            <w:tcW w:w="380" w:type="dxa"/>
            <w:vAlign w:val="bottom"/>
            <w:gridSpan w:val="2"/>
          </w:tcPr>
          <w:p>
            <w:pPr>
              <w:jc w:val="center"/>
              <w:ind w:right="20"/>
              <w:spacing w:after="0" w:line="130"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5"/>
        </w:trPr>
        <w:tc>
          <w:tcPr>
            <w:tcW w:w="6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320" w:type="dxa"/>
            <w:vAlign w:val="bottom"/>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Location</w:t>
            </w:r>
          </w:p>
        </w:tc>
        <w:tc>
          <w:tcPr>
            <w:tcW w:w="320" w:type="dxa"/>
            <w:vAlign w:val="bottom"/>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Foreign currency contracts designated as cash flow hedges under SFAS 133</w:t>
            </w:r>
          </w:p>
        </w:tc>
        <w:tc>
          <w:tcPr>
            <w:tcW w:w="1800" w:type="dxa"/>
            <w:vAlign w:val="bottom"/>
            <w:gridSpan w:val="2"/>
            <w:shd w:val="clear" w:color="auto" w:fill="CCEEFF"/>
          </w:tcPr>
          <w:p>
            <w:pPr>
              <w:ind w:left="760"/>
              <w:spacing w:after="0" w:line="201" w:lineRule="exact"/>
              <w:rPr>
                <w:sz w:val="20"/>
                <w:szCs w:val="20"/>
                <w:color w:val="auto"/>
              </w:rPr>
            </w:pPr>
            <w:r>
              <w:rPr>
                <w:rFonts w:ascii="Arial" w:cs="Arial" w:eastAsia="Arial" w:hAnsi="Arial"/>
                <w:sz w:val="18"/>
                <w:szCs w:val="18"/>
                <w:color w:val="auto"/>
              </w:rPr>
              <w:t>Prepaid</w:t>
            </w:r>
          </w:p>
        </w:tc>
        <w:tc>
          <w:tcPr>
            <w:tcW w:w="680" w:type="dxa"/>
            <w:vAlign w:val="bottom"/>
            <w:gridSpan w:val="2"/>
            <w:shd w:val="clear" w:color="auto" w:fill="CCEEFF"/>
          </w:tcPr>
          <w:p>
            <w:pPr>
              <w:jc w:val="center"/>
              <w:ind w:left="232"/>
              <w:spacing w:after="0" w:line="201" w:lineRule="exact"/>
              <w:rPr>
                <w:sz w:val="20"/>
                <w:szCs w:val="20"/>
                <w:color w:val="auto"/>
              </w:rPr>
            </w:pPr>
            <w:r>
              <w:rPr>
                <w:rFonts w:ascii="Arial" w:cs="Arial" w:eastAsia="Arial" w:hAnsi="Arial"/>
                <w:sz w:val="18"/>
                <w:szCs w:val="18"/>
                <w:color w:val="auto"/>
                <w:w w:val="89"/>
              </w:rPr>
              <w:t>$ 2.0</w:t>
            </w:r>
          </w:p>
        </w:tc>
        <w:tc>
          <w:tcPr>
            <w:tcW w:w="12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center"/>
              <w:ind w:left="232"/>
              <w:spacing w:after="0" w:line="201" w:lineRule="exact"/>
              <w:rPr>
                <w:sz w:val="20"/>
                <w:szCs w:val="20"/>
                <w:color w:val="auto"/>
              </w:rPr>
            </w:pPr>
            <w:r>
              <w:rPr>
                <w:rFonts w:ascii="Arial" w:cs="Arial" w:eastAsia="Arial" w:hAnsi="Arial"/>
                <w:sz w:val="18"/>
                <w:szCs w:val="18"/>
                <w:color w:val="auto"/>
                <w:w w:val="89"/>
              </w:rPr>
              <w:t>$ 1.5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0"/>
              </w:rPr>
              <w:t>expenses and</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other current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Derivatives non-designated as hedging instruments under SFAS 133</w:t>
            </w: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derivatives</w:t>
            </w: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$ 2.0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$ 1.5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right"/>
              <w:ind w:right="672"/>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1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0"/>
        <w:spacing w:after="0" w:line="275" w:lineRule="auto"/>
        <w:rPr>
          <w:sz w:val="20"/>
          <w:szCs w:val="20"/>
          <w:color w:val="auto"/>
        </w:rPr>
      </w:pPr>
      <w:r>
        <w:rPr>
          <w:rFonts w:ascii="Arial" w:cs="Arial" w:eastAsia="Arial" w:hAnsi="Arial"/>
          <w:sz w:val="18"/>
          <w:szCs w:val="18"/>
          <w:b w:val="1"/>
          <w:bCs w:val="1"/>
          <w:color w:val="auto"/>
        </w:rPr>
        <w:t>Effects of Derivative Instruments on Income and Other Comprehensive Income (OCI) Derivatives Designated as Hedging Instruments Under SFAS 133</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Amount of Gain</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Amount and Location of Gain</w:t>
            </w: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(Loss) Recognized in</w:t>
            </w:r>
          </w:p>
        </w:tc>
        <w:tc>
          <w:tcPr>
            <w:tcW w:w="2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Amount and Location of Gain</w:t>
            </w:r>
          </w:p>
        </w:tc>
        <w:tc>
          <w:tcPr>
            <w:tcW w:w="38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(Loss) Recognized in Income on</w:t>
            </w: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 OCI on</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center"/>
              <w:ind w:right="383"/>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38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Derivatives (Ineffective Portion</w:t>
            </w:r>
          </w:p>
        </w:tc>
      </w:tr>
      <w:tr>
        <w:trPr>
          <w:trHeight w:val="134"/>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Derivatives (Effective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jc w:val="center"/>
              <w:ind w:right="383"/>
              <w:spacing w:after="0" w:line="135" w:lineRule="exact"/>
              <w:rPr>
                <w:sz w:val="20"/>
                <w:szCs w:val="20"/>
                <w:color w:val="auto"/>
              </w:rPr>
            </w:pPr>
            <w:r>
              <w:rPr>
                <w:rFonts w:ascii="Arial" w:cs="Arial" w:eastAsia="Arial" w:hAnsi="Arial"/>
                <w:sz w:val="14"/>
                <w:szCs w:val="14"/>
                <w:b w:val="1"/>
                <w:bCs w:val="1"/>
                <w:color w:val="auto"/>
                <w:w w:val="88"/>
              </w:rPr>
              <w:t>Accumulated OCI into</w:t>
            </w:r>
          </w:p>
        </w:tc>
        <w:tc>
          <w:tcPr>
            <w:tcW w:w="380" w:type="dxa"/>
            <w:vAlign w:val="bottom"/>
          </w:tcPr>
          <w:p>
            <w:pPr>
              <w:spacing w:after="0"/>
              <w:rPr>
                <w:sz w:val="11"/>
                <w:szCs w:val="11"/>
                <w:color w:val="auto"/>
              </w:rPr>
            </w:pPr>
          </w:p>
        </w:tc>
        <w:tc>
          <w:tcPr>
            <w:tcW w:w="21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8"/>
              </w:rPr>
              <w:t>and Amount Excluded from</w:t>
            </w:r>
          </w:p>
        </w:tc>
      </w:tr>
      <w:tr>
        <w:trPr>
          <w:trHeight w:val="176"/>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July 31, 2009</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4"/>
              <w:spacing w:after="0" w:line="176" w:lineRule="exact"/>
              <w:rPr>
                <w:sz w:val="20"/>
                <w:szCs w:val="20"/>
                <w:color w:val="auto"/>
              </w:rPr>
            </w:pPr>
            <w:r>
              <w:rPr>
                <w:rFonts w:ascii="Arial" w:cs="Arial" w:eastAsia="Arial" w:hAnsi="Arial"/>
                <w:sz w:val="13"/>
                <w:szCs w:val="13"/>
                <w:b w:val="1"/>
                <w:bCs w:val="1"/>
                <w:color w:val="auto"/>
                <w:w w:val="90"/>
              </w:rPr>
              <w:t>Portion)</w:t>
            </w:r>
            <w:r>
              <w:rPr>
                <w:rFonts w:ascii="Arial" w:cs="Arial" w:eastAsia="Arial" w:hAnsi="Arial"/>
                <w:sz w:val="20"/>
                <w:szCs w:val="20"/>
                <w:b w:val="1"/>
                <w:bCs w:val="1"/>
                <w:color w:val="auto"/>
                <w:w w:val="90"/>
                <w:vertAlign w:val="superscript"/>
              </w:rPr>
              <w:t>(1)</w:t>
            </w:r>
          </w:p>
        </w:tc>
        <w:tc>
          <w:tcPr>
            <w:tcW w:w="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right="383"/>
              <w:spacing w:after="0"/>
              <w:rPr>
                <w:sz w:val="20"/>
                <w:szCs w:val="20"/>
                <w:color w:val="auto"/>
              </w:rPr>
            </w:pPr>
            <w:r>
              <w:rPr>
                <w:rFonts w:ascii="Arial" w:cs="Arial" w:eastAsia="Arial" w:hAnsi="Arial"/>
                <w:sz w:val="14"/>
                <w:szCs w:val="14"/>
                <w:b w:val="1"/>
                <w:bCs w:val="1"/>
                <w:color w:val="auto"/>
                <w:w w:val="88"/>
              </w:rPr>
              <w:t>Income (Effective Portion)</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262"/>
              <w:spacing w:after="0" w:line="176" w:lineRule="exact"/>
              <w:rPr>
                <w:sz w:val="20"/>
                <w:szCs w:val="20"/>
                <w:color w:val="auto"/>
              </w:rPr>
            </w:pPr>
            <w:r>
              <w:rPr>
                <w:rFonts w:ascii="Arial" w:cs="Arial" w:eastAsia="Arial" w:hAnsi="Arial"/>
                <w:sz w:val="13"/>
                <w:szCs w:val="13"/>
                <w:b w:val="1"/>
                <w:bCs w:val="1"/>
                <w:color w:val="auto"/>
                <w:w w:val="89"/>
              </w:rPr>
              <w:t>Effectiveness Testing)</w:t>
            </w:r>
            <w:r>
              <w:rPr>
                <w:rFonts w:ascii="Arial" w:cs="Arial" w:eastAsia="Arial" w:hAnsi="Arial"/>
                <w:sz w:val="20"/>
                <w:szCs w:val="20"/>
                <w:b w:val="1"/>
                <w:bCs w:val="1"/>
                <w:color w:val="auto"/>
                <w:w w:val="89"/>
                <w:vertAlign w:val="superscript"/>
              </w:rPr>
              <w:t>(2)</w:t>
            </w:r>
          </w:p>
        </w:tc>
      </w:tr>
      <w:tr>
        <w:trPr>
          <w:trHeight w:val="201"/>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(7.7)</w:t>
            </w:r>
          </w:p>
        </w:tc>
        <w:tc>
          <w:tcPr>
            <w:tcW w:w="4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w w:val="84"/>
              </w:rPr>
              <w:t>$(2.0)</w:t>
            </w:r>
          </w:p>
        </w:tc>
        <w:tc>
          <w:tcPr>
            <w:tcW w:w="20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Net revenue</w:t>
            </w:r>
          </w:p>
        </w:tc>
        <w:tc>
          <w:tcPr>
            <w:tcW w:w="7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$ 0.6</w:t>
            </w:r>
          </w:p>
        </w:tc>
        <w:tc>
          <w:tcPr>
            <w:tcW w:w="18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Interest and other</w:t>
            </w:r>
          </w:p>
        </w:tc>
      </w:tr>
      <w:tr>
        <w:trPr>
          <w:trHeight w:val="238"/>
        </w:trPr>
        <w:tc>
          <w:tcPr>
            <w:tcW w:w="2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net</w:t>
            </w: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2000" w:type="dxa"/>
            <w:vAlign w:val="bottom"/>
          </w:tcPr>
          <w:p>
            <w:pPr>
              <w:ind w:left="400"/>
              <w:spacing w:after="0"/>
              <w:rPr>
                <w:sz w:val="20"/>
                <w:szCs w:val="20"/>
                <w:color w:val="auto"/>
              </w:rPr>
            </w:pPr>
            <w:r>
              <w:rPr>
                <w:rFonts w:ascii="Arial" w:cs="Arial" w:eastAsia="Arial" w:hAnsi="Arial"/>
                <w:sz w:val="18"/>
                <w:szCs w:val="18"/>
                <w:color w:val="auto"/>
                <w:w w:val="98"/>
              </w:rPr>
              <w:t>Operating expenses</w:t>
            </w: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w:t>
            </w:r>
          </w:p>
        </w:tc>
        <w:tc>
          <w:tcPr>
            <w:tcW w:w="2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w:t>
            </w:r>
          </w:p>
        </w:tc>
        <w:tc>
          <w:tcPr>
            <w:tcW w:w="18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Amount and Location of Gain</w:t>
            </w: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(Loss) Recognized in Income</w:t>
            </w: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(Loss) Recognized in</w:t>
            </w:r>
          </w:p>
        </w:tc>
        <w:tc>
          <w:tcPr>
            <w:tcW w:w="2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Amount and Location of Gain</w:t>
            </w:r>
          </w:p>
        </w:tc>
        <w:tc>
          <w:tcPr>
            <w:tcW w:w="38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on Derivatives (Ineffective</w:t>
            </w: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 OCI on</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center"/>
              <w:ind w:right="383"/>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87"/>
              </w:rPr>
              <w:t>Portion and Amount</w:t>
            </w:r>
          </w:p>
        </w:tc>
      </w:tr>
      <w:tr>
        <w:trPr>
          <w:trHeight w:val="134"/>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Derivatives (Effective</w:t>
            </w:r>
          </w:p>
        </w:tc>
        <w:tc>
          <w:tcPr>
            <w:tcW w:w="244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9"/>
              </w:rPr>
              <w:t>Accumulated OCI into Income</w:t>
            </w:r>
          </w:p>
        </w:tc>
        <w:tc>
          <w:tcPr>
            <w:tcW w:w="380" w:type="dxa"/>
            <w:vAlign w:val="bottom"/>
          </w:tcPr>
          <w:p>
            <w:pPr>
              <w:spacing w:after="0"/>
              <w:rPr>
                <w:sz w:val="11"/>
                <w:szCs w:val="11"/>
                <w:color w:val="auto"/>
              </w:rPr>
            </w:pPr>
          </w:p>
        </w:tc>
        <w:tc>
          <w:tcPr>
            <w:tcW w:w="21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5"/>
              </w:rPr>
              <w:t>Excluded from Effectiveness</w:t>
            </w:r>
          </w:p>
        </w:tc>
      </w:tr>
      <w:tr>
        <w:trPr>
          <w:trHeight w:val="176"/>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For the Six Months Ended July 31, 2009</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4"/>
              <w:spacing w:after="0" w:line="176" w:lineRule="exact"/>
              <w:rPr>
                <w:sz w:val="20"/>
                <w:szCs w:val="20"/>
                <w:color w:val="auto"/>
              </w:rPr>
            </w:pPr>
            <w:r>
              <w:rPr>
                <w:rFonts w:ascii="Arial" w:cs="Arial" w:eastAsia="Arial" w:hAnsi="Arial"/>
                <w:sz w:val="13"/>
                <w:szCs w:val="13"/>
                <w:b w:val="1"/>
                <w:bCs w:val="1"/>
                <w:color w:val="auto"/>
                <w:w w:val="90"/>
              </w:rPr>
              <w:t>Portion)</w:t>
            </w:r>
            <w:r>
              <w:rPr>
                <w:rFonts w:ascii="Arial" w:cs="Arial" w:eastAsia="Arial" w:hAnsi="Arial"/>
                <w:sz w:val="20"/>
                <w:szCs w:val="20"/>
                <w:b w:val="1"/>
                <w:bCs w:val="1"/>
                <w:color w:val="auto"/>
                <w:w w:val="90"/>
                <w:vertAlign w:val="superscript"/>
              </w:rPr>
              <w:t>(1)</w:t>
            </w:r>
          </w:p>
        </w:tc>
        <w:tc>
          <w:tcPr>
            <w:tcW w:w="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right="383"/>
              <w:spacing w:after="0"/>
              <w:rPr>
                <w:sz w:val="20"/>
                <w:szCs w:val="20"/>
                <w:color w:val="auto"/>
              </w:rPr>
            </w:pPr>
            <w:r>
              <w:rPr>
                <w:rFonts w:ascii="Arial" w:cs="Arial" w:eastAsia="Arial" w:hAnsi="Arial"/>
                <w:sz w:val="14"/>
                <w:szCs w:val="14"/>
                <w:b w:val="1"/>
                <w:bCs w:val="1"/>
                <w:color w:val="auto"/>
                <w:w w:val="87"/>
              </w:rPr>
              <w:t>(Effective Portion)</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262"/>
              <w:spacing w:after="0" w:line="176" w:lineRule="exact"/>
              <w:rPr>
                <w:sz w:val="20"/>
                <w:szCs w:val="20"/>
                <w:color w:val="auto"/>
              </w:rPr>
            </w:pPr>
            <w:r>
              <w:rPr>
                <w:rFonts w:ascii="Arial" w:cs="Arial" w:eastAsia="Arial" w:hAnsi="Arial"/>
                <w:sz w:val="13"/>
                <w:szCs w:val="13"/>
                <w:b w:val="1"/>
                <w:bCs w:val="1"/>
                <w:color w:val="auto"/>
                <w:w w:val="86"/>
              </w:rPr>
              <w:t>Testing)</w:t>
            </w:r>
            <w:r>
              <w:rPr>
                <w:rFonts w:ascii="Arial" w:cs="Arial" w:eastAsia="Arial" w:hAnsi="Arial"/>
                <w:sz w:val="20"/>
                <w:szCs w:val="20"/>
                <w:b w:val="1"/>
                <w:bCs w:val="1"/>
                <w:color w:val="auto"/>
                <w:w w:val="86"/>
                <w:vertAlign w:val="superscript"/>
              </w:rPr>
              <w:t>(2)</w:t>
            </w:r>
          </w:p>
        </w:tc>
      </w:tr>
      <w:tr>
        <w:trPr>
          <w:trHeight w:val="201"/>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(3.0)</w:t>
            </w:r>
          </w:p>
        </w:tc>
        <w:tc>
          <w:tcPr>
            <w:tcW w:w="4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w w:val="84"/>
              </w:rPr>
              <w:t>$(1.2)</w:t>
            </w:r>
          </w:p>
        </w:tc>
        <w:tc>
          <w:tcPr>
            <w:tcW w:w="20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Net revenue</w:t>
            </w:r>
          </w:p>
        </w:tc>
        <w:tc>
          <w:tcPr>
            <w:tcW w:w="7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$ 1.6</w:t>
            </w:r>
          </w:p>
        </w:tc>
        <w:tc>
          <w:tcPr>
            <w:tcW w:w="18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Interest and other</w:t>
            </w:r>
          </w:p>
        </w:tc>
      </w:tr>
      <w:tr>
        <w:trPr>
          <w:trHeight w:val="238"/>
        </w:trPr>
        <w:tc>
          <w:tcPr>
            <w:tcW w:w="2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net</w:t>
            </w: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2000" w:type="dxa"/>
            <w:vAlign w:val="bottom"/>
          </w:tcPr>
          <w:p>
            <w:pPr>
              <w:ind w:left="400"/>
              <w:spacing w:after="0"/>
              <w:rPr>
                <w:sz w:val="20"/>
                <w:szCs w:val="20"/>
                <w:color w:val="auto"/>
              </w:rPr>
            </w:pPr>
            <w:r>
              <w:rPr>
                <w:rFonts w:ascii="Arial" w:cs="Arial" w:eastAsia="Arial" w:hAnsi="Arial"/>
                <w:sz w:val="18"/>
                <w:szCs w:val="18"/>
                <w:color w:val="auto"/>
                <w:w w:val="98"/>
              </w:rPr>
              <w:t>Operating expenses</w:t>
            </w: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(0.5)</w:t>
            </w:r>
          </w:p>
        </w:tc>
        <w:tc>
          <w:tcPr>
            <w:tcW w:w="2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w:t>
            </w:r>
          </w:p>
        </w:tc>
        <w:tc>
          <w:tcPr>
            <w:tcW w:w="18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The entire remaining net gain as of July 31, 2009 is expected to be recognized into earnings within the next 12 months.</w:t>
      </w:r>
    </w:p>
    <w:p>
      <w:pPr>
        <w:spacing w:after="0" w:line="7" w:lineRule="exact"/>
        <w:rPr>
          <w:rFonts w:ascii="Arial" w:cs="Arial" w:eastAsia="Arial" w:hAnsi="Arial"/>
          <w:sz w:val="22"/>
          <w:szCs w:val="22"/>
          <w:color w:val="auto"/>
          <w:vertAlign w:val="superscript"/>
        </w:rPr>
      </w:pPr>
    </w:p>
    <w:p>
      <w:pPr>
        <w:ind w:left="460" w:right="100" w:hanging="452"/>
        <w:spacing w:after="0" w:line="233" w:lineRule="auto"/>
        <w:tabs>
          <w:tab w:leader="none" w:pos="460"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color w:val="auto"/>
        </w:rPr>
        <w:t>Includes $0.4 million and $1.0 million recognized for the three and six months ended July 31, 2009, respectively, due to previously forecasted transactions that did not occur within the originally specified time period or the additional period of time allowed under SFAS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Arial" w:cs="Arial" w:eastAsia="Arial" w:hAnsi="Arial"/>
                <w:sz w:val="14"/>
                <w:szCs w:val="14"/>
                <w:b w:val="1"/>
                <w:bCs w:val="1"/>
                <w:color w:val="auto"/>
              </w:rPr>
              <w:t>Amount and Location of Gain (Loss)</w:t>
            </w:r>
          </w:p>
        </w:tc>
      </w:tr>
      <w:tr>
        <w:trPr>
          <w:trHeight w:val="161"/>
        </w:trPr>
        <w:tc>
          <w:tcPr>
            <w:tcW w:w="7200" w:type="dxa"/>
            <w:vAlign w:val="bottom"/>
          </w:tcPr>
          <w:p>
            <w:pPr>
              <w:spacing w:after="0"/>
              <w:rPr>
                <w:sz w:val="20"/>
                <w:szCs w:val="20"/>
                <w:color w:val="auto"/>
              </w:rPr>
            </w:pPr>
            <w:r>
              <w:rPr>
                <w:rFonts w:ascii="Arial" w:cs="Arial" w:eastAsia="Arial" w:hAnsi="Arial"/>
                <w:sz w:val="14"/>
                <w:szCs w:val="14"/>
                <w:b w:val="1"/>
                <w:bCs w:val="1"/>
                <w:color w:val="auto"/>
              </w:rPr>
              <w:t>Derivatives Not Designated as Hedging Instruments Under SFAS 133</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Recognized in Income on Derivative</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July 31, 2009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50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w:t>
            </w:r>
          </w:p>
        </w:tc>
        <w:tc>
          <w:tcPr>
            <w:tcW w:w="2800" w:type="dxa"/>
            <w:vAlign w:val="bottom"/>
          </w:tcPr>
          <w:p>
            <w:pPr>
              <w:ind w:left="700"/>
              <w:spacing w:after="0"/>
              <w:rPr>
                <w:sz w:val="20"/>
                <w:szCs w:val="20"/>
                <w:color w:val="auto"/>
              </w:rPr>
            </w:pPr>
            <w:r>
              <w:rPr>
                <w:rFonts w:ascii="Arial" w:cs="Arial" w:eastAsia="Arial" w:hAnsi="Arial"/>
                <w:sz w:val="18"/>
                <w:szCs w:val="18"/>
                <w:color w:val="auto"/>
                <w:w w:val="86"/>
              </w:rPr>
              <w:t>Interest and other income, net</w:t>
            </w:r>
          </w:p>
        </w:tc>
      </w:tr>
      <w:tr>
        <w:trPr>
          <w:trHeight w:val="20"/>
        </w:trPr>
        <w:tc>
          <w:tcPr>
            <w:tcW w:w="7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July 31, 2009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500" w:type="dxa"/>
            <w:vAlign w:val="bottom"/>
            <w:gridSpan w:val="2"/>
          </w:tcPr>
          <w:p>
            <w:pPr>
              <w:spacing w:after="0"/>
              <w:rPr>
                <w:sz w:val="20"/>
                <w:szCs w:val="20"/>
                <w:color w:val="auto"/>
              </w:rPr>
            </w:pPr>
            <w:r>
              <w:rPr>
                <w:rFonts w:ascii="Arial" w:cs="Arial" w:eastAsia="Arial" w:hAnsi="Arial"/>
                <w:sz w:val="18"/>
                <w:szCs w:val="18"/>
                <w:color w:val="auto"/>
              </w:rPr>
              <w:t>$ —</w:t>
            </w:r>
          </w:p>
        </w:tc>
        <w:tc>
          <w:tcPr>
            <w:tcW w:w="2800" w:type="dxa"/>
            <w:vAlign w:val="bottom"/>
          </w:tcPr>
          <w:p>
            <w:pPr>
              <w:ind w:left="700"/>
              <w:spacing w:after="0"/>
              <w:rPr>
                <w:sz w:val="20"/>
                <w:szCs w:val="20"/>
                <w:color w:val="auto"/>
              </w:rPr>
            </w:pPr>
            <w:r>
              <w:rPr>
                <w:rFonts w:ascii="Arial" w:cs="Arial" w:eastAsia="Arial" w:hAnsi="Arial"/>
                <w:sz w:val="18"/>
                <w:szCs w:val="18"/>
                <w:color w:val="auto"/>
                <w:w w:val="86"/>
              </w:rPr>
              <w:t>Interest and other income, net</w:t>
            </w:r>
          </w:p>
        </w:tc>
      </w:tr>
      <w:tr>
        <w:trPr>
          <w:trHeight w:val="20"/>
        </w:trPr>
        <w:tc>
          <w:tcPr>
            <w:tcW w:w="7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SFAS 157 clarifies that fair value is an exit price, representing the amount that would be received upon the sale of an asset, or the amount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SFAS 157 establishes a three-tier value hierarchy, which prioritizes the inputs used in measuring fair value as follows: (Level 1) observable inputs such as quoted prices in active markets; (Level 2) inputs other than the quoted prices in active markets that are observable either directly or indirectly in active markets; and (Level 3) unobservable inputs in which there is little or no market data, which require Autodesk to develop its own assumptions. SFAS 157 requires Autodesk to maximize its use of observable market data, and to minimize its use of unobservable inputs when determining fair value. On a recurring basis, Autodesk measures at fair value certain financial assets and liabilities, which consist of cash equivalents, marketable securities and foreign currency contracts.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Company’s investments held in the Reserve Funds are designated as Level 3 securities. The Company conducted its fair value assessment of the Reserve Funds using Level 2 and Level 3 inputs. Management has reviewed the Reserve Funds’ underlying securities portfolio which is substantially comprised of term deposits, money market funds, U.S. treasury bills and commercial paper. These securities are issued by highly-rated institutions. Normally, the Company would classify such investments within Level 2 of the fair value hierarchy. Management evaluated the fair value of its unit interest in the Reserve Funds, considering risk of collection,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timing and other factors. These assumptions are inherently subjective and involve significant management judgment. As a result, the Company has classified its holdings in the Reserve Funds within Level 3 of the fair value hierarchy. Autodesk’s investments in auction rate securities are classified within Level 3 because they are valued using a pricing model, and some of the inputs to this model are unobservable in the market.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July 31,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Fair Value Measurements at July 31, 2009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0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in Active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Inputs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50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Cash equivalents</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Available-for-sale equity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440"/>
              <w:spacing w:after="0"/>
              <w:rPr>
                <w:sz w:val="20"/>
                <w:szCs w:val="20"/>
                <w:color w:val="auto"/>
              </w:rPr>
            </w:pPr>
            <w:r>
              <w:rPr>
                <w:rFonts w:ascii="Arial" w:cs="Arial" w:eastAsia="Arial" w:hAnsi="Arial"/>
                <w:sz w:val="18"/>
                <w:szCs w:val="18"/>
                <w:color w:val="auto"/>
              </w:rPr>
              <w:t>Foreign currency derivative contracts</w:t>
            </w:r>
            <w:r>
              <w:rPr>
                <w:rFonts w:ascii="Arial" w:cs="Arial" w:eastAsia="Arial" w:hAnsi="Arial"/>
                <w:sz w:val="11"/>
                <w:szCs w:val="11"/>
                <w:color w:val="auto"/>
              </w:rPr>
              <w:t>(2)</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derivative contracts</w:t>
            </w:r>
            <w:r>
              <w:rPr>
                <w:rFonts w:ascii="Arial" w:cs="Arial" w:eastAsia="Arial" w:hAnsi="Arial"/>
                <w:sz w:val="11"/>
                <w:szCs w:val="11"/>
                <w:color w:val="auto"/>
              </w:rPr>
              <w:t>(3)</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January 31,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9"/>
          </w:tcPr>
          <w:p>
            <w:pPr>
              <w:ind w:left="560"/>
              <w:spacing w:after="0"/>
              <w:rPr>
                <w:sz w:val="20"/>
                <w:szCs w:val="20"/>
                <w:color w:val="auto"/>
              </w:rPr>
            </w:pPr>
            <w:r>
              <w:rPr>
                <w:rFonts w:ascii="Arial" w:cs="Arial" w:eastAsia="Arial" w:hAnsi="Arial"/>
                <w:sz w:val="14"/>
                <w:szCs w:val="14"/>
                <w:b w:val="1"/>
                <w:bCs w:val="1"/>
                <w:color w:val="auto"/>
                <w:w w:val="88"/>
              </w:rPr>
              <w:t>Fair Value Measurements at January 31, 2009 Using</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100" w:type="dxa"/>
            <w:vAlign w:val="bottom"/>
          </w:tcPr>
          <w:p>
            <w:pPr>
              <w:spacing w:after="0"/>
              <w:rPr>
                <w:sz w:val="11"/>
                <w:szCs w:val="11"/>
                <w:color w:val="auto"/>
              </w:rPr>
            </w:pPr>
          </w:p>
        </w:tc>
        <w:tc>
          <w:tcPr>
            <w:tcW w:w="1380" w:type="dxa"/>
            <w:vAlign w:val="bottom"/>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in Active</w:t>
            </w:r>
          </w:p>
        </w:tc>
        <w:tc>
          <w:tcPr>
            <w:tcW w:w="120" w:type="dxa"/>
            <w:vAlign w:val="bottom"/>
          </w:tcPr>
          <w:p>
            <w:pPr>
              <w:spacing w:after="0"/>
              <w:rPr>
                <w:sz w:val="12"/>
                <w:szCs w:val="12"/>
                <w:color w:val="auto"/>
              </w:rPr>
            </w:pPr>
          </w:p>
        </w:tc>
        <w:tc>
          <w:tcPr>
            <w:tcW w:w="5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6"/>
              </w:rPr>
              <w:t>Other</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4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100" w:type="dxa"/>
            <w:vAlign w:val="bottom"/>
          </w:tcPr>
          <w:p>
            <w:pPr>
              <w:spacing w:after="0"/>
              <w:rPr>
                <w:sz w:val="14"/>
                <w:szCs w:val="14"/>
                <w:color w:val="auto"/>
              </w:rPr>
            </w:pPr>
          </w:p>
        </w:tc>
        <w:tc>
          <w:tcPr>
            <w:tcW w:w="13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4"/>
              </w:rPr>
              <w:t>Identical Assets</w:t>
            </w:r>
          </w:p>
        </w:tc>
        <w:tc>
          <w:tcPr>
            <w:tcW w:w="120" w:type="dxa"/>
            <w:vAlign w:val="bottom"/>
          </w:tcPr>
          <w:p>
            <w:pPr>
              <w:spacing w:after="0"/>
              <w:rPr>
                <w:sz w:val="14"/>
                <w:szCs w:val="14"/>
                <w:color w:val="auto"/>
              </w:rPr>
            </w:pPr>
          </w:p>
        </w:tc>
        <w:tc>
          <w:tcPr>
            <w:tcW w:w="560" w:type="dxa"/>
            <w:vAlign w:val="bottom"/>
          </w:tcPr>
          <w:p>
            <w:pPr>
              <w:jc w:val="center"/>
              <w:ind w:right="35"/>
              <w:spacing w:after="0"/>
              <w:rPr>
                <w:sz w:val="20"/>
                <w:szCs w:val="20"/>
                <w:color w:val="auto"/>
              </w:rPr>
            </w:pPr>
            <w:r>
              <w:rPr>
                <w:rFonts w:ascii="Arial" w:cs="Arial" w:eastAsia="Arial" w:hAnsi="Arial"/>
                <w:sz w:val="14"/>
                <w:szCs w:val="14"/>
                <w:b w:val="1"/>
                <w:bCs w:val="1"/>
                <w:color w:val="auto"/>
                <w:w w:val="85"/>
              </w:rPr>
              <w:t>Inputs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Inputs</w:t>
            </w:r>
          </w:p>
        </w:tc>
        <w:tc>
          <w:tcPr>
            <w:tcW w:w="80" w:type="dxa"/>
            <w:vAlign w:val="bottom"/>
          </w:tcPr>
          <w:p>
            <w:pPr>
              <w:spacing w:after="0"/>
              <w:rPr>
                <w:sz w:val="14"/>
                <w:szCs w:val="14"/>
                <w:color w:val="auto"/>
              </w:rPr>
            </w:pPr>
          </w:p>
        </w:tc>
        <w:tc>
          <w:tcPr>
            <w:tcW w:w="5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7"/>
              </w:rPr>
              <w:t>(Level 1)</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(Level 2)</w:t>
            </w:r>
          </w:p>
        </w:tc>
        <w:tc>
          <w:tcPr>
            <w:tcW w:w="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Cash equivalents</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7100" w:type="dxa"/>
            <w:vAlign w:val="bottom"/>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tcPr>
          <w:p>
            <w:pPr>
              <w:spacing w:after="0"/>
              <w:rPr>
                <w:sz w:val="18"/>
                <w:szCs w:val="18"/>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398"/>
              <w:spacing w:after="0"/>
              <w:rPr>
                <w:sz w:val="20"/>
                <w:szCs w:val="20"/>
                <w:color w:val="auto"/>
              </w:rPr>
            </w:pPr>
            <w:r>
              <w:rPr>
                <w:rFonts w:ascii="Arial" w:cs="Arial" w:eastAsia="Arial" w:hAnsi="Arial"/>
                <w:sz w:val="18"/>
                <w:szCs w:val="18"/>
                <w:color w:val="auto"/>
                <w:w w:val="85"/>
              </w:rPr>
              <w:t>25.0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710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20" w:type="dxa"/>
            <w:vAlign w:val="bottom"/>
            <w:gridSpan w:val="2"/>
          </w:tcPr>
          <w:p>
            <w:pPr>
              <w:jc w:val="center"/>
              <w:ind w:left="398"/>
              <w:spacing w:after="0"/>
              <w:rPr>
                <w:sz w:val="20"/>
                <w:szCs w:val="20"/>
                <w:color w:val="auto"/>
              </w:rPr>
            </w:pPr>
            <w:r>
              <w:rPr>
                <w:rFonts w:ascii="Arial" w:cs="Arial" w:eastAsia="Arial" w:hAnsi="Arial"/>
                <w:sz w:val="18"/>
                <w:szCs w:val="18"/>
                <w:color w:val="auto"/>
                <w:w w:val="85"/>
              </w:rPr>
              <w:t>55.0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7100" w:type="dxa"/>
            <w:vAlign w:val="bottom"/>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820" w:type="dxa"/>
            <w:vAlign w:val="bottom"/>
            <w:gridSpan w:val="2"/>
          </w:tcPr>
          <w:p>
            <w:pPr>
              <w:jc w:val="center"/>
              <w:ind w:left="398"/>
              <w:spacing w:after="0"/>
              <w:rPr>
                <w:sz w:val="20"/>
                <w:szCs w:val="20"/>
                <w:color w:val="auto"/>
              </w:rPr>
            </w:pPr>
            <w:r>
              <w:rPr>
                <w:rFonts w:ascii="Arial" w:cs="Arial" w:eastAsia="Arial" w:hAnsi="Arial"/>
                <w:sz w:val="18"/>
                <w:szCs w:val="18"/>
                <w:color w:val="auto"/>
                <w:w w:val="85"/>
              </w:rPr>
              <w:t>19.9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7100" w:type="dxa"/>
            <w:vAlign w:val="bottom"/>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derivative contracts</w:t>
            </w:r>
            <w:r>
              <w:rPr>
                <w:rFonts w:ascii="Arial" w:cs="Arial" w:eastAsia="Arial" w:hAnsi="Arial"/>
                <w:sz w:val="11"/>
                <w:szCs w:val="11"/>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378"/>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710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center"/>
              <w:ind w:left="398"/>
              <w:spacing w:after="0"/>
              <w:rPr>
                <w:sz w:val="20"/>
                <w:szCs w:val="20"/>
                <w:color w:val="auto"/>
              </w:rPr>
            </w:pPr>
            <w:r>
              <w:rPr>
                <w:rFonts w:ascii="Arial" w:cs="Arial" w:eastAsia="Arial" w:hAnsi="Arial"/>
                <w:sz w:val="18"/>
                <w:szCs w:val="18"/>
                <w:color w:val="auto"/>
                <w:w w:val="85"/>
              </w:rPr>
              <w:t>99.9</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622.0</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40.9</w:t>
            </w:r>
          </w:p>
        </w:tc>
        <w:tc>
          <w:tcPr>
            <w:tcW w:w="4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Autodesk’s cash equivalents and marketable securities are primarily classified within Level 1 or Level 2 of the fair value hierarchy because they are valued primarily using quoted market prices, or alternative pricing sources and models utilizing market observable inputs with reasonable levels of price transparency. A reconciliation of the change in Autodesk’s Level 3 items for the six months ended July 31, 2009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6"/>
          </w:tcPr>
          <w:p>
            <w:pPr>
              <w:jc w:val="center"/>
              <w:ind w:left="282"/>
              <w:spacing w:after="0"/>
              <w:rPr>
                <w:sz w:val="20"/>
                <w:szCs w:val="20"/>
                <w:color w:val="auto"/>
              </w:rPr>
            </w:pPr>
            <w:r>
              <w:rPr>
                <w:rFonts w:ascii="Arial" w:cs="Arial" w:eastAsia="Arial" w:hAnsi="Arial"/>
                <w:sz w:val="14"/>
                <w:szCs w:val="14"/>
                <w:b w:val="1"/>
                <w:bCs w:val="1"/>
                <w:color w:val="auto"/>
                <w:w w:val="86"/>
              </w:rPr>
              <w:t>Fair Value Measurements Using</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262"/>
              <w:spacing w:after="0"/>
              <w:rPr>
                <w:sz w:val="20"/>
                <w:szCs w:val="20"/>
                <w:color w:val="auto"/>
              </w:rPr>
            </w:pPr>
            <w:r>
              <w:rPr>
                <w:rFonts w:ascii="Arial" w:cs="Arial" w:eastAsia="Arial" w:hAnsi="Arial"/>
                <w:sz w:val="14"/>
                <w:szCs w:val="14"/>
                <w:b w:val="1"/>
                <w:bCs w:val="1"/>
                <w:color w:val="auto"/>
                <w:w w:val="86"/>
              </w:rPr>
              <w:t>Significant Unobservable Inputs</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center"/>
              <w:ind w:right="560"/>
              <w:spacing w:after="0" w:line="142" w:lineRule="exact"/>
              <w:rPr>
                <w:sz w:val="20"/>
                <w:szCs w:val="20"/>
                <w:color w:val="auto"/>
              </w:rPr>
            </w:pPr>
            <w:r>
              <w:rPr>
                <w:rFonts w:ascii="Arial" w:cs="Arial" w:eastAsia="Arial" w:hAnsi="Arial"/>
                <w:sz w:val="14"/>
                <w:szCs w:val="14"/>
                <w:b w:val="1"/>
                <w:bCs w:val="1"/>
                <w:color w:val="auto"/>
                <w:w w:val="91"/>
              </w:rPr>
              <w:t>(Level 3)</w:t>
            </w: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Taxable</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Auction-</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Money Market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Rate</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Funds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52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Redemptions</w:t>
            </w:r>
            <w:r>
              <w:rPr>
                <w:rFonts w:ascii="Arial" w:cs="Arial" w:eastAsia="Arial" w:hAnsi="Arial"/>
                <w:sz w:val="11"/>
                <w:szCs w:val="11"/>
                <w:color w:val="auto"/>
              </w:rPr>
              <w:t>(1)</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52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Redemptions of $15.3 million from the Reserve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Plans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of July 31, 2009, Autodesk maintained two active stock plans for the purpose of granting stock awards to employees and to non-employee members of Autodesk’s Board of Directors: the 2008 Employee Stock Plan (“2008 Plan”), which is available only to employees, and the 2000 Directors’ Option Plan, as amended (“2000 Plan”), which is available only to non-employee directors. Additionally, there are six expired or terminated plans with options outstanding.</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2008 Plan was approved by Autodesk’s stockholders in November 2007. Under this plan, 16.5 million shares of Autodesk common stock, in addition to 0.5 million shares that remained available for issuance under the 2006 Employee Stock Plan upon its expiration in March 2008, were reserved for issuance. The 2008 Plan permits the grant of stock options, restricted stock awards and restricted stock units; however, no more than 2.5 million of the shares reserved for issuance under the 2008 Plan may be issued pursuant to awards of restricted stock and restricted stock units. At July 31, 2009, 7.3 million shares were available for future issuance under the 2008 Plan. The 2008 Plan will expire in March 2011.</w:t>
      </w:r>
    </w:p>
    <w:p>
      <w:pPr>
        <w:spacing w:after="0" w:line="11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2000 Plan, which was originally approved by the stockholders in June 2000, allows for an automatic annual grant of options to non-employee members of Autodesk’s Board of Directors. At July 31, 2009, 0.7 million shares were available for future issuance. The 2000 Plan will expire in March 2010.</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June 11, 2009, Autodesk’s stockholders approved the 2010 Outside Directors’ Stock Plan (“2010 Plan”), which will become effective March 16, 2010. The 2010 Plan reserves 2.5 million shares of Autodesk common stock, plus up to 0.5 million shares available but not previously granted under the 2000 Plan. The 2010 Plan permits the grant of stock options and restricted stock awards to non-employee members of Autodesk’s Board of Directors. The 2010 Plan will expire in March 2020.</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Options granted under the 2008 Plan and the 2000 Plan vest over periods ranging from one to four years and expire within four to seven years from the date of grant. The exercise price of all stock options granted under these plans was equal to the fair market value of the stock on the grant date.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sections, Stock Options and Restricted Stock, summarize activity under Autodesk’s stock plans.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six months ended July 31, 2009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2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Number of</w:t>
            </w:r>
          </w:p>
        </w:tc>
        <w:tc>
          <w:tcPr>
            <w:tcW w:w="36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average price</w:t>
            </w:r>
          </w:p>
        </w:tc>
        <w:tc>
          <w:tcPr>
            <w:tcW w:w="0" w:type="dxa"/>
            <w:vAlign w:val="bottom"/>
          </w:tcPr>
          <w:p>
            <w:pPr>
              <w:spacing w:after="0"/>
              <w:rPr>
                <w:sz w:val="1"/>
                <w:szCs w:val="1"/>
                <w:color w:val="auto"/>
              </w:rPr>
            </w:pPr>
          </w:p>
        </w:tc>
      </w:tr>
      <w:tr>
        <w:trPr>
          <w:trHeight w:val="161"/>
        </w:trPr>
        <w:tc>
          <w:tcPr>
            <w:tcW w:w="8120" w:type="dxa"/>
            <w:vAlign w:val="bottom"/>
          </w:tcPr>
          <w:p>
            <w:pPr>
              <w:spacing w:after="0"/>
              <w:rPr>
                <w:sz w:val="14"/>
                <w:szCs w:val="14"/>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2009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26,818</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6,588</w:t>
            </w:r>
          </w:p>
        </w:tc>
        <w:tc>
          <w:tcPr>
            <w:tcW w:w="40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(1,605)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(819)</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Expired</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(754)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Options outstanding at July 31, 2009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July 31, 2009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Options available for grant at July 31, 2009</w:t>
            </w: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20" w:type="dxa"/>
            <w:vAlign w:val="bottom"/>
            <w:vMerge w:val="continue"/>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7,935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total pre-tax intrinsic value of options exercised during the three months ended July 31, 2009 and 2008 was $11.2 million and $19.9 million, respectively. For the six months ended July 31, 2009 and 2008, total pre-tax intrinsic value of options exercised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was $12.8 million and $31.9 million, respectively. The intrinsic value of options exercised is calculated as the difference between the exercise price of the option and the market value of the stock on the date of exercise. The weighted average grant date fair value of stock options granted during the three months ended July 31, 2009 and 2008, calculated as of the stock option grant date using the Black-Scholes-Merton option-pricing model, was $8.38 and $11.17 per share, respectively. The weighted average grant date fair value of stock options granted during the six months ended July 31, 2009 and 2008, calculated as of the stock option grant date using the Black-Scholes-Merton option-pricing model, was $6.08 and $9.97 per share, respectively. As of July 31, 2009, total compensation cost of $80.6 million related to non-vested options is expected to be recognized over a weighted average period of 2.3 years.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options outstanding and exercisable at July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w w:val="92"/>
              </w:rPr>
              <w:t>Options Exercisable</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0"/>
              </w:rPr>
              <w:t>Options Outstanding</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Weighted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Aggregate</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intrinsic</w:t>
            </w: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Number of</w:t>
            </w: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3"/>
        </w:trPr>
        <w:tc>
          <w:tcPr>
            <w:tcW w:w="9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26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78"/>
              </w:rPr>
              <w:t>exercise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60"/>
              <w:spacing w:after="0" w:line="163"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8"/>
                <w:szCs w:val="18"/>
                <w:b w:val="1"/>
                <w:bCs w:val="1"/>
                <w:color w:val="auto"/>
                <w:w w:val="96"/>
                <w:vertAlign w:val="superscript"/>
              </w:rPr>
              <w:t>(1)</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life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40"/>
              <w:spacing w:after="0" w:line="163"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price</w:t>
            </w:r>
          </w:p>
        </w:tc>
        <w:tc>
          <w:tcPr>
            <w:tcW w:w="28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(in millions)</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 thousands)</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(in years)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price</w:t>
            </w:r>
          </w:p>
        </w:tc>
        <w:tc>
          <w:tcPr>
            <w:tcW w:w="280" w:type="dxa"/>
            <w:vAlign w:val="bottom"/>
          </w:tcPr>
          <w:p>
            <w:pPr>
              <w:spacing w:after="0"/>
              <w:rPr>
                <w:sz w:val="14"/>
                <w:szCs w:val="1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jc w:val="right"/>
              <w:ind w:right="1412"/>
              <w:spacing w:after="0"/>
              <w:rPr>
                <w:sz w:val="20"/>
                <w:szCs w:val="20"/>
                <w:color w:val="auto"/>
              </w:rPr>
            </w:pPr>
            <w:r>
              <w:rPr>
                <w:rFonts w:ascii="Arial" w:cs="Arial" w:eastAsia="Arial" w:hAnsi="Arial"/>
                <w:sz w:val="18"/>
                <w:szCs w:val="18"/>
                <w:color w:val="auto"/>
                <w:w w:val="86"/>
              </w:rPr>
              <w:t>Range of per-share exercise prices:</w:t>
            </w: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$0.61</w:t>
            </w:r>
          </w:p>
        </w:tc>
        <w:tc>
          <w:tcPr>
            <w:tcW w:w="3040" w:type="dxa"/>
            <w:vAlign w:val="bottom"/>
          </w:tcPr>
          <w:p>
            <w:pPr>
              <w:jc w:val="right"/>
              <w:ind w:right="2232"/>
              <w:spacing w:after="0"/>
              <w:rPr>
                <w:sz w:val="20"/>
                <w:szCs w:val="20"/>
                <w:color w:val="auto"/>
              </w:rPr>
            </w:pPr>
            <w:r>
              <w:rPr>
                <w:rFonts w:ascii="Arial" w:cs="Arial" w:eastAsia="Arial" w:hAnsi="Arial"/>
                <w:sz w:val="18"/>
                <w:szCs w:val="18"/>
                <w:color w:val="auto"/>
                <w:w w:val="89"/>
              </w:rPr>
              <w:t>— $13.41</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3,297</w:t>
            </w:r>
          </w:p>
        </w:tc>
        <w:tc>
          <w:tcPr>
            <w:tcW w:w="6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6,059</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$ 10.20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jc w:val="right"/>
              <w:ind w:right="2232"/>
              <w:spacing w:after="0"/>
              <w:rPr>
                <w:sz w:val="20"/>
                <w:szCs w:val="20"/>
                <w:color w:val="auto"/>
              </w:rPr>
            </w:pPr>
            <w:r>
              <w:rPr>
                <w:rFonts w:ascii="Arial" w:cs="Arial" w:eastAsia="Arial" w:hAnsi="Arial"/>
                <w:sz w:val="18"/>
                <w:szCs w:val="18"/>
                <w:color w:val="auto"/>
              </w:rPr>
              <w:t>$13.84 — $20.69</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2,219</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6,026</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w w:val="87"/>
              </w:rPr>
              <w:t>$21.89</w:t>
            </w:r>
          </w:p>
        </w:tc>
        <w:tc>
          <w:tcPr>
            <w:tcW w:w="3040" w:type="dxa"/>
            <w:vAlign w:val="bottom"/>
          </w:tcPr>
          <w:p>
            <w:pPr>
              <w:jc w:val="right"/>
              <w:ind w:right="2232"/>
              <w:spacing w:after="0"/>
              <w:rPr>
                <w:sz w:val="20"/>
                <w:szCs w:val="20"/>
                <w:color w:val="auto"/>
              </w:rPr>
            </w:pPr>
            <w:r>
              <w:rPr>
                <w:rFonts w:ascii="Arial" w:cs="Arial" w:eastAsia="Arial" w:hAnsi="Arial"/>
                <w:sz w:val="18"/>
                <w:szCs w:val="18"/>
                <w:color w:val="auto"/>
                <w:w w:val="89"/>
              </w:rPr>
              <w:t>— $32.63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4,022</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29.44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6,032</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7"/>
              </w:rPr>
              <w:t>$32.90</w:t>
            </w:r>
          </w:p>
        </w:tc>
        <w:tc>
          <w:tcPr>
            <w:tcW w:w="3040" w:type="dxa"/>
            <w:vAlign w:val="bottom"/>
            <w:shd w:val="clear" w:color="auto" w:fill="CCEEFF"/>
          </w:tcPr>
          <w:p>
            <w:pPr>
              <w:jc w:val="right"/>
              <w:ind w:right="2232"/>
              <w:spacing w:after="0"/>
              <w:rPr>
                <w:sz w:val="20"/>
                <w:szCs w:val="20"/>
                <w:color w:val="auto"/>
              </w:rPr>
            </w:pPr>
            <w:r>
              <w:rPr>
                <w:rFonts w:ascii="Arial" w:cs="Arial" w:eastAsia="Arial" w:hAnsi="Arial"/>
                <w:sz w:val="18"/>
                <w:szCs w:val="18"/>
                <w:color w:val="auto"/>
                <w:w w:val="89"/>
              </w:rPr>
              <w:t>— $38.10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4,053</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6,070</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w w:val="87"/>
              </w:rPr>
              <w:t>$39.69</w:t>
            </w:r>
          </w:p>
        </w:tc>
        <w:tc>
          <w:tcPr>
            <w:tcW w:w="3040" w:type="dxa"/>
            <w:vAlign w:val="bottom"/>
          </w:tcPr>
          <w:p>
            <w:pPr>
              <w:jc w:val="right"/>
              <w:ind w:right="2232"/>
              <w:spacing w:after="0"/>
              <w:rPr>
                <w:sz w:val="20"/>
                <w:szCs w:val="20"/>
                <w:color w:val="auto"/>
              </w:rPr>
            </w:pPr>
            <w:r>
              <w:rPr>
                <w:rFonts w:ascii="Arial" w:cs="Arial" w:eastAsia="Arial" w:hAnsi="Arial"/>
                <w:sz w:val="18"/>
                <w:szCs w:val="18"/>
                <w:color w:val="auto"/>
                <w:w w:val="89"/>
              </w:rPr>
              <w:t>— $49.80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3,855</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5,938</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17,446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28.95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30,125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580" w:hanging="452"/>
        <w:spacing w:after="0" w:line="228" w:lineRule="auto"/>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Represents the total pre-tax intrinsic value, based on Autodesk’s closing stock price of $21.81 per share as of July 31, 2009, which would have been received by the option holders had all option holders exercised their options as of that date.</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These options will expire if not exercised prior to specific dates ranging through June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award and restricted stock unit activity for the six months ended July 31, 2009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8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83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Non-vested</w:t>
            </w:r>
          </w:p>
        </w:tc>
        <w:tc>
          <w:tcPr>
            <w:tcW w:w="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grant date</w:t>
            </w:r>
          </w:p>
        </w:tc>
      </w:tr>
      <w:tr>
        <w:trPr>
          <w:trHeight w:val="161"/>
        </w:trPr>
        <w:tc>
          <w:tcPr>
            <w:tcW w:w="8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Stock</w:t>
            </w:r>
          </w:p>
        </w:tc>
        <w:tc>
          <w:tcPr>
            <w:tcW w:w="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fair value</w:t>
            </w:r>
          </w:p>
        </w:tc>
      </w:tr>
      <w:tr>
        <w:trPr>
          <w:trHeight w:val="142"/>
        </w:trPr>
        <w:tc>
          <w:tcPr>
            <w:tcW w:w="83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Non-vested restricted stock at January 31, 2009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38.08</w:t>
            </w: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Awarded</w:t>
            </w: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16.90</w:t>
            </w: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w:t>
            </w:r>
          </w:p>
        </w:tc>
      </w:tr>
      <w:tr>
        <w:trPr>
          <w:trHeight w:val="222"/>
        </w:trPr>
        <w:tc>
          <w:tcPr>
            <w:tcW w:w="8300" w:type="dxa"/>
            <w:vAlign w:val="bottom"/>
          </w:tcPr>
          <w:p>
            <w:pPr>
              <w:spacing w:after="0"/>
              <w:rPr>
                <w:sz w:val="20"/>
                <w:szCs w:val="20"/>
                <w:color w:val="auto"/>
              </w:rPr>
            </w:pPr>
            <w:r>
              <w:rPr>
                <w:rFonts w:ascii="Arial" w:cs="Arial" w:eastAsia="Arial" w:hAnsi="Arial"/>
                <w:sz w:val="18"/>
                <w:szCs w:val="18"/>
                <w:color w:val="auto"/>
              </w:rPr>
              <w:t>Non-vested restricted stock at July 31, 2009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three months ended July 31, 2008, Autodesk granted 77,316 restricted stock units under the 2008 Plan. The restricted stock units vest on the third anniversary of the date of grant. Restricted stock units are not considered outstanding at the time of grant, as the holders of these units are not entitled to any of the rights of a stockholder, including voting rights. The fair value of the restricted stock is expensed ratably over the vesting period. Autodesk recorded share-based compensation expense related to restricted stock units of $0.3 million and $1.0 million during the three and six months ended July 31, 2009, respectively. Autodesk recorded share-based compensation expense related to restricted stock units of $0.1 million during the three and six months ended July 31, 2008. As of July 31, 2009, total compensation cost related to non-vested awards not yet recognized of $2.1 million is expected to be recognized over a weighted average period of 2.1 years. At July 31, 2009, the number of units granted but unvested was 188,188.</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three months ended July 31, 2009, Autodesk issued 30,001 restricted stock awards under the 2000 Plan. The restricted stock awards vest on the first anniversary of the date of grant. Restricted stock awards are considered outstanding at the time of grant, as the stock award holders are entitled to many of the rights of a stockholder, including voting rights. The fair value of the restricted stock is expensed ratably over the vesting period. Autodesk recorded share-based compensation expense related to restricted stock awards of $0.3 million and $0.4 million during the three and six months ended July 31, 2009, respectively. Autodesk recorded share-based compensation expense related to restricted stock awards of $0.2 million and $0.4 million during the three and six months ended July 31, 2008, respectively. As of July 31, 2009, total compensation cost related to non-vested awards not yet recognized of $0.5 million is expected to be recognized over a weighted average period of 0.9 years. At July 31, 2009, the number of awards granted but unvested was 30,001.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Autodesk’s ESP Plan, which was approved by stockholders in 1998, eligible employees may purchase shares of Autodesk’s common stock at their discretion using up to 15% of their compensation subject to certain limitations, at not less than 85% of fair market value as defined in the ESP Plan (“ESP Plan fair market value”). At July 31, 2009, a total of 27.8 million shares were available for future issuance. This amount is automatically increased on the first trading day of each fiscal year by an amount equal to the lesser of 10 million shares or 2.0%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Autodesk issued 1.7 million and 1.1 million shares under the ESP Plan during the six months ended July 31, 2009 and 2008, at an average price of $14.29 and $26.76 per share, respectively. The weighted average grant date fair value of awards granted under the ESP Plan during both the three and six months ended July 31, 2009 and 2008, calculated as of the award grant date using the Black-Scholes-Merton option-pricing model, was $7.17 and $10.39 per share, respectively.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July 31, 2009, a total of 66.1 million shares of Autodesk’s common stock have been reserved for future issuance under existing stock option and stock purchase plans.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Autodesk measures all stock-based payments to employees and directors, including grants of employee stock options and employee stock purchases related to the ESP Plan, using a fair-value based method and records the expense in Autodesk’s Condensed Consolidated Statements of Operations. The estimated fair value of stock-based awards is amortized to expense on a straight-line basis over the awards’ vesting period. The following table summarizes stock-based compensation expense related to employee stock options and employee stock purchases for the three and six months ended July 31, 2009 and 2008, respectively, as follows: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4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July 31,</w:t>
            </w:r>
          </w:p>
        </w:tc>
        <w:tc>
          <w:tcPr>
            <w:tcW w:w="4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ended July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406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Marketing and sales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Tax benefit</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06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2"/>
              </w:rPr>
              <w:t>Six months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July 31,</w:t>
            </w:r>
          </w:p>
        </w:tc>
        <w:tc>
          <w:tcPr>
            <w:tcW w:w="4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ended July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406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Marketing and sales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Tax benefit</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06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960" w:type="dxa"/>
            <w:vAlign w:val="bottom"/>
            <w:vMerge w:val="restart"/>
          </w:tcPr>
          <w:p>
            <w:pPr>
              <w:ind w:left="132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Autodesk uses the Black-Scholes-Merton option-pricing model to estimate the fair value of stock-based awards and the fair value of awards under the ESP Plan based on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gridSpan w:val="3"/>
          </w:tcPr>
          <w:p>
            <w:pPr>
              <w:jc w:val="center"/>
              <w:ind w:right="472"/>
              <w:spacing w:after="0"/>
              <w:rPr>
                <w:sz w:val="20"/>
                <w:szCs w:val="20"/>
                <w:color w:val="auto"/>
              </w:rPr>
            </w:pPr>
            <w:r>
              <w:rPr>
                <w:rFonts w:ascii="Arial" w:cs="Arial" w:eastAsia="Arial" w:hAnsi="Arial"/>
                <w:sz w:val="14"/>
                <w:szCs w:val="14"/>
                <w:b w:val="1"/>
                <w:bCs w:val="1"/>
                <w:color w:val="auto"/>
                <w:w w:val="86"/>
              </w:rPr>
              <w:t>Three months</w:t>
            </w:r>
          </w:p>
        </w:tc>
        <w:tc>
          <w:tcPr>
            <w:tcW w:w="100" w:type="dxa"/>
            <w:vAlign w:val="bottom"/>
          </w:tcPr>
          <w:p>
            <w:pPr>
              <w:spacing w:after="0"/>
              <w:rPr>
                <w:sz w:val="14"/>
                <w:szCs w:val="14"/>
                <w:color w:val="auto"/>
              </w:rPr>
            </w:pPr>
          </w:p>
        </w:tc>
        <w:tc>
          <w:tcPr>
            <w:tcW w:w="164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86"/>
              </w:rPr>
              <w:t>Three months</w:t>
            </w:r>
          </w:p>
        </w:tc>
        <w:tc>
          <w:tcPr>
            <w:tcW w:w="580" w:type="dxa"/>
            <w:vAlign w:val="bottom"/>
          </w:tcPr>
          <w:p>
            <w:pPr>
              <w:spacing w:after="0"/>
              <w:rPr>
                <w:sz w:val="14"/>
                <w:szCs w:val="14"/>
                <w:color w:val="auto"/>
              </w:rPr>
            </w:pPr>
          </w:p>
        </w:tc>
      </w:tr>
      <w:tr>
        <w:trPr>
          <w:trHeight w:val="161"/>
        </w:trPr>
        <w:tc>
          <w:tcPr>
            <w:tcW w:w="6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492"/>
              <w:spacing w:after="0"/>
              <w:rPr>
                <w:sz w:val="20"/>
                <w:szCs w:val="20"/>
                <w:color w:val="auto"/>
              </w:rPr>
            </w:pPr>
            <w:r>
              <w:rPr>
                <w:rFonts w:ascii="Arial" w:cs="Arial" w:eastAsia="Arial" w:hAnsi="Arial"/>
                <w:sz w:val="14"/>
                <w:szCs w:val="14"/>
                <w:b w:val="1"/>
                <w:bCs w:val="1"/>
                <w:color w:val="auto"/>
                <w:w w:val="86"/>
              </w:rPr>
              <w:t>ended July 31, 2009</w:t>
            </w:r>
          </w:p>
        </w:tc>
        <w:tc>
          <w:tcPr>
            <w:tcW w:w="100" w:type="dxa"/>
            <w:vAlign w:val="bottom"/>
          </w:tcPr>
          <w:p>
            <w:pPr>
              <w:spacing w:after="0"/>
              <w:rPr>
                <w:sz w:val="14"/>
                <w:szCs w:val="14"/>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ended July 31, 2008</w:t>
            </w:r>
          </w:p>
        </w:tc>
      </w:tr>
      <w:tr>
        <w:trPr>
          <w:trHeight w:val="129"/>
        </w:trPr>
        <w:tc>
          <w:tcPr>
            <w:tcW w:w="6740" w:type="dxa"/>
            <w:vAlign w:val="bottom"/>
          </w:tcPr>
          <w:p>
            <w:pPr>
              <w:spacing w:after="0"/>
              <w:rPr>
                <w:sz w:val="11"/>
                <w:szCs w:val="11"/>
                <w:color w:val="auto"/>
              </w:rPr>
            </w:pPr>
          </w:p>
        </w:tc>
        <w:tc>
          <w:tcPr>
            <w:tcW w:w="12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1"/>
        </w:trPr>
        <w:tc>
          <w:tcPr>
            <w:tcW w:w="6740" w:type="dxa"/>
            <w:vAlign w:val="bottom"/>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100" w:type="dxa"/>
            <w:vAlign w:val="bottom"/>
          </w:tcPr>
          <w:p>
            <w:pPr>
              <w:spacing w:after="0"/>
              <w:rPr>
                <w:sz w:val="14"/>
                <w:szCs w:val="14"/>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ESP Plan</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Plans</w:t>
            </w:r>
          </w:p>
        </w:tc>
        <w:tc>
          <w:tcPr>
            <w:tcW w:w="100" w:type="dxa"/>
            <w:vAlign w:val="bottom"/>
          </w:tcPr>
          <w:p>
            <w:pPr>
              <w:spacing w:after="0"/>
              <w:rPr>
                <w:sz w:val="14"/>
                <w:szCs w:val="14"/>
                <w:color w:val="auto"/>
              </w:rPr>
            </w:pPr>
          </w:p>
        </w:tc>
        <w:tc>
          <w:tcPr>
            <w:tcW w:w="10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- 0.52</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0.58 - 0.73</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0.37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- 0.41</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660" w:type="dxa"/>
            <w:vAlign w:val="bottom"/>
          </w:tcPr>
          <w:p>
            <w:pPr>
              <w:ind w:left="20"/>
              <w:spacing w:after="0"/>
              <w:rPr>
                <w:sz w:val="20"/>
                <w:szCs w:val="20"/>
                <w:color w:val="auto"/>
              </w:rPr>
            </w:pPr>
            <w:r>
              <w:rPr>
                <w:rFonts w:ascii="Arial" w:cs="Arial" w:eastAsia="Arial" w:hAnsi="Arial"/>
                <w:sz w:val="18"/>
                <w:szCs w:val="18"/>
                <w:color w:val="auto"/>
              </w:rPr>
              <w:t>- 4.0</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86"/>
              </w:rPr>
              <w:t>0.50 - 2.0</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2.7 - 4.0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580" w:type="dxa"/>
            <w:vAlign w:val="bottom"/>
          </w:tcPr>
          <w:p>
            <w:pPr>
              <w:ind w:left="20"/>
              <w:spacing w:after="0"/>
              <w:rPr>
                <w:sz w:val="20"/>
                <w:szCs w:val="20"/>
                <w:color w:val="auto"/>
              </w:rPr>
            </w:pPr>
            <w:r>
              <w:rPr>
                <w:rFonts w:ascii="Arial" w:cs="Arial" w:eastAsia="Arial" w:hAnsi="Arial"/>
                <w:sz w:val="18"/>
                <w:szCs w:val="18"/>
                <w:color w:val="auto"/>
              </w:rPr>
              <w:t>- 2.0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0%</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0%</w:t>
            </w:r>
          </w:p>
        </w:tc>
        <w:tc>
          <w:tcPr>
            <w:tcW w:w="11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2"/>
              </w:rPr>
              <w:t>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1.66%</w:t>
            </w:r>
          </w:p>
        </w:tc>
        <w:tc>
          <w:tcPr>
            <w:tcW w:w="660" w:type="dxa"/>
            <w:vAlign w:val="bottom"/>
          </w:tcPr>
          <w:p>
            <w:pPr>
              <w:ind w:left="20"/>
              <w:spacing w:after="0"/>
              <w:rPr>
                <w:sz w:val="20"/>
                <w:szCs w:val="20"/>
                <w:color w:val="auto"/>
              </w:rPr>
            </w:pPr>
            <w:r>
              <w:rPr>
                <w:rFonts w:ascii="Arial" w:cs="Arial" w:eastAsia="Arial" w:hAnsi="Arial"/>
                <w:sz w:val="18"/>
                <w:szCs w:val="18"/>
                <w:color w:val="auto"/>
                <w:w w:val="99"/>
              </w:rPr>
              <w:t>- 2.42%</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0.42 - 0.86%</w:t>
            </w:r>
          </w:p>
        </w:tc>
        <w:tc>
          <w:tcPr>
            <w:tcW w:w="2320" w:type="dxa"/>
            <w:vAlign w:val="bottom"/>
            <w:gridSpan w:val="5"/>
          </w:tcPr>
          <w:p>
            <w:pPr>
              <w:jc w:val="center"/>
              <w:ind w:left="12"/>
              <w:spacing w:after="0"/>
              <w:rPr>
                <w:sz w:val="20"/>
                <w:szCs w:val="20"/>
                <w:color w:val="auto"/>
              </w:rPr>
            </w:pPr>
            <w:r>
              <w:rPr>
                <w:rFonts w:ascii="Arial" w:cs="Arial" w:eastAsia="Arial" w:hAnsi="Arial"/>
                <w:sz w:val="18"/>
                <w:szCs w:val="18"/>
                <w:color w:val="auto"/>
                <w:w w:val="93"/>
              </w:rPr>
              <w:t>3.07 - 3.40%   1.53 - 1.75%</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13.5%</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13.5%</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13.6%</w:t>
            </w:r>
          </w:p>
        </w:tc>
        <w:tc>
          <w:tcPr>
            <w:tcW w:w="116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13.6%</w:t>
            </w:r>
          </w:p>
        </w:tc>
      </w:tr>
      <w:tr>
        <w:trPr>
          <w:trHeight w:val="352"/>
        </w:trPr>
        <w:tc>
          <w:tcPr>
            <w:tcW w:w="6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gridSpan w:val="3"/>
          </w:tcPr>
          <w:p>
            <w:pPr>
              <w:jc w:val="center"/>
              <w:ind w:right="472"/>
              <w:spacing w:after="0"/>
              <w:rPr>
                <w:sz w:val="20"/>
                <w:szCs w:val="20"/>
                <w:color w:val="auto"/>
              </w:rPr>
            </w:pPr>
            <w:r>
              <w:rPr>
                <w:rFonts w:ascii="Arial" w:cs="Arial" w:eastAsia="Arial" w:hAnsi="Arial"/>
                <w:sz w:val="14"/>
                <w:szCs w:val="14"/>
                <w:b w:val="1"/>
                <w:bCs w:val="1"/>
                <w:color w:val="auto"/>
                <w:w w:val="84"/>
              </w:rPr>
              <w:t>Six months</w:t>
            </w:r>
          </w:p>
        </w:tc>
        <w:tc>
          <w:tcPr>
            <w:tcW w:w="100" w:type="dxa"/>
            <w:vAlign w:val="bottom"/>
          </w:tcPr>
          <w:p>
            <w:pPr>
              <w:spacing w:after="0"/>
              <w:rPr>
                <w:sz w:val="24"/>
                <w:szCs w:val="24"/>
                <w:color w:val="auto"/>
              </w:rPr>
            </w:pPr>
          </w:p>
        </w:tc>
        <w:tc>
          <w:tcPr>
            <w:tcW w:w="164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84"/>
              </w:rPr>
              <w:t>Six months</w:t>
            </w:r>
          </w:p>
        </w:tc>
        <w:tc>
          <w:tcPr>
            <w:tcW w:w="580" w:type="dxa"/>
            <w:vAlign w:val="bottom"/>
          </w:tcPr>
          <w:p>
            <w:pPr>
              <w:spacing w:after="0"/>
              <w:rPr>
                <w:sz w:val="24"/>
                <w:szCs w:val="24"/>
                <w:color w:val="auto"/>
              </w:rPr>
            </w:pPr>
          </w:p>
        </w:tc>
      </w:tr>
      <w:tr>
        <w:trPr>
          <w:trHeight w:val="161"/>
        </w:trPr>
        <w:tc>
          <w:tcPr>
            <w:tcW w:w="6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492"/>
              <w:spacing w:after="0"/>
              <w:rPr>
                <w:sz w:val="20"/>
                <w:szCs w:val="20"/>
                <w:color w:val="auto"/>
              </w:rPr>
            </w:pPr>
            <w:r>
              <w:rPr>
                <w:rFonts w:ascii="Arial" w:cs="Arial" w:eastAsia="Arial" w:hAnsi="Arial"/>
                <w:sz w:val="14"/>
                <w:szCs w:val="14"/>
                <w:b w:val="1"/>
                <w:bCs w:val="1"/>
                <w:color w:val="auto"/>
                <w:w w:val="86"/>
              </w:rPr>
              <w:t>ended July 31, 2009</w:t>
            </w:r>
          </w:p>
        </w:tc>
        <w:tc>
          <w:tcPr>
            <w:tcW w:w="100" w:type="dxa"/>
            <w:vAlign w:val="bottom"/>
          </w:tcPr>
          <w:p>
            <w:pPr>
              <w:spacing w:after="0"/>
              <w:rPr>
                <w:sz w:val="14"/>
                <w:szCs w:val="14"/>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ended July 31, 2008</w:t>
            </w:r>
          </w:p>
        </w:tc>
      </w:tr>
      <w:tr>
        <w:trPr>
          <w:trHeight w:val="129"/>
        </w:trPr>
        <w:tc>
          <w:tcPr>
            <w:tcW w:w="6740" w:type="dxa"/>
            <w:vAlign w:val="bottom"/>
          </w:tcPr>
          <w:p>
            <w:pPr>
              <w:spacing w:after="0"/>
              <w:rPr>
                <w:sz w:val="11"/>
                <w:szCs w:val="11"/>
                <w:color w:val="auto"/>
              </w:rPr>
            </w:pPr>
          </w:p>
        </w:tc>
        <w:tc>
          <w:tcPr>
            <w:tcW w:w="12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1"/>
        </w:trPr>
        <w:tc>
          <w:tcPr>
            <w:tcW w:w="6740" w:type="dxa"/>
            <w:vAlign w:val="bottom"/>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100" w:type="dxa"/>
            <w:vAlign w:val="bottom"/>
          </w:tcPr>
          <w:p>
            <w:pPr>
              <w:spacing w:after="0"/>
              <w:rPr>
                <w:sz w:val="14"/>
                <w:szCs w:val="14"/>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ESP Plan</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Plans</w:t>
            </w:r>
          </w:p>
        </w:tc>
        <w:tc>
          <w:tcPr>
            <w:tcW w:w="100" w:type="dxa"/>
            <w:vAlign w:val="bottom"/>
          </w:tcPr>
          <w:p>
            <w:pPr>
              <w:spacing w:after="0"/>
              <w:rPr>
                <w:sz w:val="14"/>
                <w:szCs w:val="14"/>
                <w:color w:val="auto"/>
              </w:rPr>
            </w:pPr>
          </w:p>
        </w:tc>
        <w:tc>
          <w:tcPr>
            <w:tcW w:w="10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- 0.55</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0.58 - 0.73</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0.37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- 0.41</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660" w:type="dxa"/>
            <w:vAlign w:val="bottom"/>
          </w:tcPr>
          <w:p>
            <w:pPr>
              <w:ind w:left="20"/>
              <w:spacing w:after="0"/>
              <w:rPr>
                <w:sz w:val="20"/>
                <w:szCs w:val="20"/>
                <w:color w:val="auto"/>
              </w:rPr>
            </w:pPr>
            <w:r>
              <w:rPr>
                <w:rFonts w:ascii="Arial" w:cs="Arial" w:eastAsia="Arial" w:hAnsi="Arial"/>
                <w:sz w:val="18"/>
                <w:szCs w:val="18"/>
                <w:color w:val="auto"/>
              </w:rPr>
              <w:t>- 4.0</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86"/>
              </w:rPr>
              <w:t>0.50 - 2.0</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2.7 - 4.0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580" w:type="dxa"/>
            <w:vAlign w:val="bottom"/>
          </w:tcPr>
          <w:p>
            <w:pPr>
              <w:ind w:left="20"/>
              <w:spacing w:after="0"/>
              <w:rPr>
                <w:sz w:val="20"/>
                <w:szCs w:val="20"/>
                <w:color w:val="auto"/>
              </w:rPr>
            </w:pPr>
            <w:r>
              <w:rPr>
                <w:rFonts w:ascii="Arial" w:cs="Arial" w:eastAsia="Arial" w:hAnsi="Arial"/>
                <w:sz w:val="18"/>
                <w:szCs w:val="18"/>
                <w:color w:val="auto"/>
              </w:rPr>
              <w:t>- 2.0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0%</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0%</w:t>
            </w:r>
          </w:p>
        </w:tc>
        <w:tc>
          <w:tcPr>
            <w:tcW w:w="11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2"/>
              </w:rPr>
              <w:t>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1.21%</w:t>
            </w:r>
          </w:p>
        </w:tc>
        <w:tc>
          <w:tcPr>
            <w:tcW w:w="660" w:type="dxa"/>
            <w:vAlign w:val="bottom"/>
          </w:tcPr>
          <w:p>
            <w:pPr>
              <w:ind w:left="20"/>
              <w:spacing w:after="0"/>
              <w:rPr>
                <w:sz w:val="20"/>
                <w:szCs w:val="20"/>
                <w:color w:val="auto"/>
              </w:rPr>
            </w:pPr>
            <w:r>
              <w:rPr>
                <w:rFonts w:ascii="Arial" w:cs="Arial" w:eastAsia="Arial" w:hAnsi="Arial"/>
                <w:sz w:val="18"/>
                <w:szCs w:val="18"/>
                <w:color w:val="auto"/>
                <w:w w:val="99"/>
              </w:rPr>
              <w:t>- 2.42%</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0.42 - 0.86%</w:t>
            </w:r>
          </w:p>
        </w:tc>
        <w:tc>
          <w:tcPr>
            <w:tcW w:w="2320" w:type="dxa"/>
            <w:vAlign w:val="bottom"/>
            <w:gridSpan w:val="5"/>
          </w:tcPr>
          <w:p>
            <w:pPr>
              <w:jc w:val="center"/>
              <w:ind w:left="12"/>
              <w:spacing w:after="0"/>
              <w:rPr>
                <w:sz w:val="20"/>
                <w:szCs w:val="20"/>
                <w:color w:val="auto"/>
              </w:rPr>
            </w:pPr>
            <w:r>
              <w:rPr>
                <w:rFonts w:ascii="Arial" w:cs="Arial" w:eastAsia="Arial" w:hAnsi="Arial"/>
                <w:sz w:val="18"/>
                <w:szCs w:val="18"/>
                <w:color w:val="auto"/>
                <w:w w:val="93"/>
              </w:rPr>
              <w:t>1.82 - 3.40%   1.53 - 1.75%</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13.5%</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13.5%</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13.6%</w:t>
            </w:r>
          </w:p>
        </w:tc>
        <w:tc>
          <w:tcPr>
            <w:tcW w:w="116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13.6%</w:t>
            </w: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Autodesk estimates expected volatility for stock-based awards granted under the Company’s stock plans and ESP Plan awards based on two measures. The first is a measure of historical volatility in the trading market for the Company’s common stock, and the second is the implied volatility of traded forward call options to purchase shares of the Company’s common stock.</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Autodesk estimates the expected life of stock-based awards granted under the Company’s stock plans using both exercise behavior and post-vesting termination behavior, as well as consideration of outstanding options.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Autodesk does not currently pay, and does not anticipate paying, any cash dividends in the foreseeable future. Consequently, an expected dividend yield of zero is used in the Black-Scholes-Merton option valuation model.</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risk-free interest rate used in the Black-Scholes-Merton option valuation model for stock-based awards granted under the Company’s stock plans and ESP Plan awards is the historical yield on U.S. Treasury securities with equivalent remaining lives.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Autodesk only recognizes expense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26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Autodesk’s effective tax rate was 22% during the three months ended July 31, 2009, and negative 256% during the six months ended July 31, 2009, compared to 28% and 27% in the respective periods of the prior fiscal year. Autodesk’s effective tax rate decreased 6% during the three months ended July 31, 2009 as compared to the same period in the prior fiscal year primarily due to non-deductible in-process research and development expense recorded during the second quarter of fiscal 2009. Autodesk’s effective tax rate decreased 283% during the six months ended July 31, 2009 as compared to the same period in the prior fiscal year as a result of a $20.9 million discrete non-cash tax charge from recording a valuation allowance against California deferred tax assets offset by a discrete tax benefit of $7.7 million associated with the impairment of goodwill recorded during the first quarter of fiscal 2010, and the tax impact of non-deductible in-process research and development expenses recorded during the second quarter of fiscal 2009. Excluding the impact of discrete tax items, the effective tax rates for the three and six month periods ended July 31, 2009 are lower than the Federal statutory tax rate of 35% primarily due to foreign income taxed at lower rates and Federal and state research tax credits partially offset by the impact of SFAS 123R “Share-based Payment.”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first quarter of fiscal 2010, the State of California enacted significant California tax law changes. As a result of the enacted legislation, the Company expects that in fiscal years 2012 and beyond the Company’s income subject to tax in California will be less than under prior tax law and accordingly its California deferred tax assets are less likely to be realized. During the first quarter of fiscal 2010, the Company recorded a net discrete tax charge of $20.9 million related to the re-measurement of the Company’s California deferred tax assets to account for this change in tax law, as well as an increase in the valuation allowance for the Company’s California deferred tax assets that existed as of January 31, 2009. The Company will continue to assess the valuation allowance on its California deferred tax assets in future periods.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amount of unrecognized tax benefits was determined in accordance with FASB Financial Interpretation No. 48, “Accounting for Uncertainty in Income Taxes-an interpretation of FASB Statement No. 109” (“FIN 48”). As of July 31, 2009, the Company had $188.8 million of gross unrecognized tax benefits, excluding interest, of which approximately $178.0 million represents the amount of unrecognized tax benefits that would impact the effective tax rate, if recognized. The remaining $10.8 million relates to items that would result in balance sheet reclassification only, with no impact to income tax expense. It is possible that the amount of unrecognized tax benefits will change in the next twelve months; however an estimate of the range of the possible change cannot be made at this time.</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July 31, 2009, Autodesk had net deferred tax assets of $141.0 million. The Company believes that it will generate sufficient future taxable income in appropriate tax jurisdictions to realize these assets.</w:t>
      </w:r>
    </w:p>
    <w:p>
      <w:pPr>
        <w:spacing w:after="0" w:line="25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Restructuring Reserve</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the fourth quarter of fiscal 2009, Autodesk initiated a restructuring program in order to reduce operating costs. This program reduced the number of employees by approximately 700 positions globally and will result in the consolidation of up to 27 leased facilities.</w:t>
      </w:r>
    </w:p>
    <w:p>
      <w:pPr>
        <w:spacing w:after="0" w:line="13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the second quarter of fiscal 2010, Autodesk initiated an additional restructuring program, which will result in a staff reduction of approximately 430 positions globally and the consolidation of up to 32 leased facilities around the world in order to reduce Autodesk’s operating expenses. The restructuring program, and resulting staff reductions and facilities consolidations, initiated during the quarter ended July 31, 2009 is in addition to that initiated in the fourth quarter of fiscal 2009.</w:t>
      </w:r>
    </w:p>
    <w:p>
      <w:pPr>
        <w:spacing w:after="0" w:line="143"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In connection with these restructuring plans, Autodesk recorded restructuring and impairment charges of $26.4 million and $42.9 million during the three and six months ended July 31, 2009, respectively. Of these amounts, $15.5 million and $19.4 million was recorded for one-time employee termination benefits during the three and six months ended July 31, 2009, respectively, and $10.9 million and $23.5 million was recorded for facilities-related and other costs during the three and six months ended July 31, 2009, respectively. The remainder of the termination benefits will substantially be paid during the third quarter of fiscal 2010. Autodesk expects to pay the facility related liabilities through fiscal 2018.</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restructuring activity recorded in the Condensed Consolidated Balance Sheets during the six months ended July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22"/>
                <w:szCs w:val="22"/>
                <w:b w:val="1"/>
                <w:bCs w:val="1"/>
                <w:color w:val="auto"/>
                <w:vertAlign w:val="superscript"/>
              </w:rPr>
              <w:t>(1)</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January 31, 2009</w:t>
            </w:r>
          </w:p>
        </w:tc>
        <w:tc>
          <w:tcPr>
            <w:tcW w:w="2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Additions</w:t>
            </w:r>
          </w:p>
        </w:tc>
        <w:tc>
          <w:tcPr>
            <w:tcW w:w="5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2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7"/>
              </w:rPr>
              <w:t>July 31, 2009</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Fiscal 2010 Plan</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Employee Severance and Benefits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16.3</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(12.4)</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(0.4)</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Fiscal 2009 Plan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Severance and Benefits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(36.8)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Facilities and Other</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Employee Severance and Benefits</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42.2</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(55.1)</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(3.5)</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r>
              <w:rPr>
                <w:rFonts w:ascii="Arial" w:cs="Arial" w:eastAsia="Arial" w:hAnsi="Arial"/>
                <w:sz w:val="11"/>
                <w:szCs w:val="11"/>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Non-current portion</w:t>
            </w:r>
            <w:r>
              <w:rPr>
                <w:rFonts w:ascii="Arial" w:cs="Arial" w:eastAsia="Arial" w:hAnsi="Arial"/>
                <w:sz w:val="11"/>
                <w:szCs w:val="11"/>
                <w:color w:val="auto"/>
              </w:rPr>
              <w:t>(2)</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Adjustments include the impact of foreign currency translation.</w:t>
      </w:r>
    </w:p>
    <w:p>
      <w:pPr>
        <w:spacing w:after="0" w:line="7" w:lineRule="exact"/>
        <w:rPr>
          <w:rFonts w:ascii="Arial" w:cs="Arial" w:eastAsia="Arial" w:hAnsi="Arial"/>
          <w:sz w:val="22"/>
          <w:szCs w:val="22"/>
          <w:color w:val="auto"/>
          <w:vertAlign w:val="superscript"/>
        </w:rPr>
      </w:pPr>
    </w:p>
    <w:p>
      <w:pPr>
        <w:ind w:left="460" w:right="200" w:hanging="452"/>
        <w:spacing w:after="0" w:line="221" w:lineRule="auto"/>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The current and non-current portion of the reserve is recorded in the Condensed Consolidated Balance Sheet under “Other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If Autodesk’s revenue should continue to decline significantly, the Company may further reduce its operating expenses to align them with its financial condition, including the possibility of a further restructuring. In taking these actions, Autodesk may incur additional costs which could negatively impact its net income and cash flows from operating activities.</w:t>
      </w:r>
    </w:p>
    <w:p>
      <w:pPr>
        <w:spacing w:after="0" w:line="26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Compensation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July 31, 2009, Autodesk had marketable securities totaling $360.2 million, of which $25.9 million related to investments in debt and equity securities that are held in a rabbi trust under non-qualified deferred compensation plans. The total related deferred compensation liability was $25.9 million at July 31, 2009, of which $1.8 million was classified as current and $24.1 million was classified as non-current liabilities. The value of debt and equity securities held in the rabbi trust at January 31, 2009 was $19.9 million. The total related deferred compensation liability at January 31, 2009 was $19.9 million, of which $1.2 million was classified as current and $18.7 million was classified as non-current liabilities. The current and non-current portions of the liability are recorded in the Condensed Consolidated Balance Sheets under “Accrued compensation” and “Other liabilities,” respectively.</w:t>
      </w:r>
    </w:p>
    <w:p>
      <w:pPr>
        <w:spacing w:after="0" w:line="24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Computer Equipment, Software, Furniture and Leasehold Improvements,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Computer software and hardware, leasehold improvements, furniture and equipment and the related accumulated depreciation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July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at cost</w:t>
            </w: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$ 126.4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Computer hardware, at cost</w:t>
            </w:r>
          </w:p>
        </w:tc>
        <w:tc>
          <w:tcPr>
            <w:tcW w:w="2800" w:type="dxa"/>
            <w:vAlign w:val="bottom"/>
            <w:gridSpan w:val="3"/>
          </w:tcPr>
          <w:p>
            <w:pPr>
              <w:jc w:val="right"/>
              <w:ind w:right="420"/>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land and buildings, at cost</w:t>
            </w: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Furniture and equipment, at cost</w:t>
            </w:r>
          </w:p>
        </w:tc>
        <w:tc>
          <w:tcPr>
            <w:tcW w:w="18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384.0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(265.7)</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hardware, leasehold improvements, furniture and equipment, net</w:t>
            </w: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$ 118.3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jc w:val="right"/>
              <w:ind w:right="1932"/>
              <w:spacing w:after="0"/>
              <w:rPr>
                <w:sz w:val="20"/>
                <w:szCs w:val="20"/>
                <w:color w:val="auto"/>
              </w:rPr>
            </w:pPr>
            <w:r>
              <w:rPr>
                <w:rFonts w:ascii="Arial" w:cs="Arial" w:eastAsia="Arial" w:hAnsi="Arial"/>
                <w:sz w:val="18"/>
                <w:szCs w:val="18"/>
                <w:color w:val="auto"/>
              </w:rPr>
              <w:t>22</w:t>
            </w:r>
          </w:p>
        </w:tc>
        <w:tc>
          <w:tcPr>
            <w:tcW w:w="1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2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Purchased Technologies,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Purchased technologies and the related accumulated amortization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3"/>
              </w:rPr>
              <w:t>July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303.4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(206.7)</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during the six months ended July 31, 2009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Platform</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Solutions and</w:t>
            </w:r>
          </w:p>
        </w:tc>
        <w:tc>
          <w:tcPr>
            <w:tcW w:w="1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85"/>
              </w:rPr>
              <w:t>Architecture,</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Emerging</w:t>
            </w: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Engineering and</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Media and</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0"/>
              <w:spacing w:after="0"/>
              <w:rPr>
                <w:sz w:val="20"/>
                <w:szCs w:val="20"/>
                <w:color w:val="auto"/>
              </w:rPr>
            </w:pPr>
            <w:r>
              <w:rPr>
                <w:rFonts w:ascii="Arial" w:cs="Arial" w:eastAsia="Arial" w:hAnsi="Arial"/>
                <w:sz w:val="14"/>
                <w:szCs w:val="14"/>
                <w:b w:val="1"/>
                <w:bCs w:val="1"/>
                <w:color w:val="auto"/>
                <w:w w:val="80"/>
              </w:rPr>
              <w:t>Business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8"/>
              <w:spacing w:after="0"/>
              <w:rPr>
                <w:sz w:val="20"/>
                <w:szCs w:val="20"/>
                <w:color w:val="auto"/>
              </w:rPr>
            </w:pPr>
            <w:r>
              <w:rPr>
                <w:rFonts w:ascii="Arial" w:cs="Arial" w:eastAsia="Arial" w:hAnsi="Arial"/>
                <w:sz w:val="14"/>
                <w:szCs w:val="14"/>
                <w:b w:val="1"/>
                <w:bCs w:val="1"/>
                <w:color w:val="auto"/>
                <w:w w:val="84"/>
              </w:rPr>
              <w:t>Construction</w:t>
            </w:r>
          </w:p>
        </w:tc>
        <w:tc>
          <w:tcPr>
            <w:tcW w:w="5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9"/>
              </w:rPr>
              <w:t>Manufacturing</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Entertainment</w:t>
            </w:r>
          </w:p>
        </w:tc>
        <w:tc>
          <w:tcPr>
            <w:tcW w:w="2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ind w:left="300"/>
              <w:spacing w:after="0"/>
              <w:rPr>
                <w:sz w:val="20"/>
                <w:szCs w:val="20"/>
                <w:color w:val="auto"/>
              </w:rPr>
            </w:pPr>
            <w:r>
              <w:rPr>
                <w:rFonts w:ascii="Arial" w:cs="Arial" w:eastAsia="Arial" w:hAnsi="Arial"/>
                <w:sz w:val="18"/>
                <w:szCs w:val="18"/>
                <w:color w:val="auto"/>
                <w:w w:val="85"/>
              </w:rPr>
              <w:t>36.3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Transfer of assets between segments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(10.1)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w w:val="94"/>
              </w:rPr>
              <w:t>Effect of foreign currency translation, purchase accounting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20" w:type="dxa"/>
            <w:vAlign w:val="bottom"/>
          </w:tcPr>
          <w:p>
            <w:pPr>
              <w:ind w:left="640"/>
              <w:spacing w:after="0"/>
              <w:rPr>
                <w:sz w:val="20"/>
                <w:szCs w:val="20"/>
                <w:color w:val="auto"/>
              </w:rPr>
            </w:pPr>
            <w:r>
              <w:rPr>
                <w:rFonts w:ascii="Arial" w:cs="Arial" w:eastAsia="Arial" w:hAnsi="Arial"/>
                <w:sz w:val="18"/>
                <w:szCs w:val="18"/>
                <w:color w:val="auto"/>
              </w:rPr>
              <w:t>adjustments and other</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left="260"/>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ind w:left="300"/>
              <w:spacing w:after="0"/>
              <w:rPr>
                <w:sz w:val="20"/>
                <w:szCs w:val="20"/>
                <w:color w:val="auto"/>
              </w:rPr>
            </w:pPr>
            <w:r>
              <w:rPr>
                <w:rFonts w:ascii="Arial" w:cs="Arial" w:eastAsia="Arial" w:hAnsi="Arial"/>
                <w:sz w:val="18"/>
                <w:szCs w:val="18"/>
                <w:color w:val="auto"/>
                <w:w w:val="85"/>
              </w:rPr>
              <w:t>26.2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Autodesk recorded an impairment charge of $21.0 million during the first quarter of fiscal 2010, representing the entire goodwill balance of the Media and Entertainment (“M&amp;E”) segment as of April 30, 2009. This goodwill balance related to the M&amp;E segment’s fourth quarter fiscal 2009 acquisition of substantially all of the assets of Softimage. In May 2009, the Company concluded that an impairment of goodwill had occurred as of April 30, 2009 due to revisions to the Company’s revenue and cash flow projections prepared in the second half of the first quarter of fiscal 2010 in response to the significant and sustained revenue declines it was experiencing in all segments and geographies in the first quarter of fiscal 2010. The revenue and cash flow projections were substantially impacted for all segments; the M&amp;E segment was the only segment that had a current fair value of its future discounted cash flows that fell below the carrying value of its assets.</w:t>
      </w:r>
    </w:p>
    <w:p>
      <w:pPr>
        <w:spacing w:after="0" w:line="14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When assessing goodwill for impairment, Autodesk uses discounted cash flow models which include assumptions regarding projected cash flows (“Income Approach”) and corroborates it with the estimated consideration which the Company would receive if there were to be a sale of the reporting segment (“Market Approach”).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 (i) declines in Autodesk’s actual operating results, (ii) a sustained decline in Autodesk’s market capitalization, (iii) further significant slowdown in the worldwide economy or the industries Autodesk serves, or (iv) changes in Autodesk’s business strategy or internal operating results forecasts. As of July 31, 2009, a hypothetical 10% decrease in the fair value of Autodesk’s reporting units would not have an impact on the carrying value of goodwill nor result in additional impairment of goodwill.</w:t>
      </w:r>
    </w:p>
    <w:p>
      <w:pPr>
        <w:spacing w:after="0" w:line="24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Borrowing Arrangements</w:t>
      </w:r>
    </w:p>
    <w:p>
      <w:pPr>
        <w:spacing w:after="0" w:line="90"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Autodesk’s U.S. line of credit facility permits unsecured short-term borrowings of up to $250.0 million, and is available for working capital or other business needs. The credit agreement contains customary covenants, which could restrict liens, certain types of additional debt and dispositions of assets if Autodesk fails to maintain its financial covenants. The line of credit is syndicated with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various financial institutions, including Citicorp USA, Inc., a Citibank affiliate, which is the primary lender and agent. Autodesk had no outstanding borrowings on this line at July 31, 2009. This facility expires in August 2012.</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Autodesk’s China line of credit facility permits unsecured short-term borrowings of up to $5.0 million, and is available for working capital needs. At July 31, 2009, Autodesk had no outstanding borrowings on this line of credit, which contains customary covenants. This facility has no contractual expiration.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weighted average interest rate on Autodesk’s line of credit facilities was 1.01% at January 31, 2009. Autodesk had no borrowings outstanding on either the U.S. or China line of credit at July 31, 2009.</w:t>
      </w:r>
    </w:p>
    <w:p>
      <w:pPr>
        <w:spacing w:after="0" w:line="254" w:lineRule="exact"/>
        <w:rPr>
          <w:sz w:val="20"/>
          <w:szCs w:val="20"/>
          <w:color w:val="auto"/>
        </w:rPr>
      </w:pPr>
    </w:p>
    <w:p>
      <w:pPr>
        <w:ind w:left="240" w:right="8540" w:hanging="232"/>
        <w:spacing w:after="0" w:line="413" w:lineRule="auto"/>
        <w:tabs>
          <w:tab w:leader="none" w:pos="458"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Commitments and Contingencies </w:t>
      </w:r>
      <w:r>
        <w:rPr>
          <w:rFonts w:ascii="Arial" w:cs="Arial" w:eastAsia="Arial" w:hAnsi="Arial"/>
          <w:sz w:val="15"/>
          <w:szCs w:val="15"/>
          <w:i w:val="1"/>
          <w:iCs w:val="1"/>
          <w:color w:val="auto"/>
        </w:rPr>
        <w:t>Guarantees and Indemnifications</w:t>
      </w:r>
    </w:p>
    <w:p>
      <w:pPr>
        <w:spacing w:after="0" w:line="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but because potential future costs are highly variable, Autodesk is unable to estimate the maximum potential effect of these indemnifications on its future results of operations.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purchase, sale or license transactions of assets or businesses with third parties, Autodesk has entered into or assumed customary indemnification agreements related to the assets or businesses purchased, sold or licensed. Historically, costs related to these indemnifications or guarantees have not been significant, but because potential future costs are highly variable, Autodesk is unable to estimate the maximum potential effect of these indemnifications on its future results of operations.</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material pending matters for which there were material developments during the three and six months ended July 31, 2009.</w:t>
      </w:r>
    </w:p>
    <w:p>
      <w:pPr>
        <w:spacing w:after="0" w:line="19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During the fourth quarter of fiscal 2007, three stockholder derivative lawsuits were filed against Autodesk and certain of the Company’s current and former directors and officers relating to its historical stock option practices and related accounting. On November 20, 2006, the Company and certain of its current and former members of the Board were sued in U.S. Federal District Court for the Northern District of California in a stockholder derivative action, entitled “Giles v. Bartz, et al.,” Case No. C06-8175 (the “Giles Case”). On December 29, 2006, the Company, certain of its current and former members of the Board, and certain current and past executive officers were sued in U.S. Federal District Court for the Northern District of California in a stockholder derivative action, entitled “Campion v. Sutton, et al.,” Case No. C06-07967. The Campion lawsuit was consolidated into the Giles Case and later voluntarily dismissed by the plaintiff on January 31, 2007. On January 9, 2007, the Company, certain of its current and former members of the Board, and current and former executive officers were sued in the Superior Court for the State of California, County of Marin in a stockholder derivative action, entitled “Koerner v. Bartz, et al.,” Case No. CV-070112 (the “Koerner Case”). On February 10, 2009, the court in the Giles Case granted the Company’s motion for summary judgment and entered a judgment dismissing the case with prejudice. Following this judgment, on March 31, 2009, the plaintiff in the Koerner Case dismissed the action against the Company. Representative plaintiffs from each of the Giles Case and the Koerner Case separately requested that the Board review the processes followed and conclusions reached during the investigation of the Company’s historical stock option practices and related accounting (the “Demand Letters”). On April 22, 2009 the Board authorized the formation of an evaluation committee comprised of independent directors to evaluate the Demand Letters (the “Evaluation Committee”). The Evaluation Committee retained independent counsel to assist in their review of the Demand Letters. The plaintiff in the Giles Case subsequently withdrew her demand letter. After a thorough review and analysis, the Evaluation Committee determined that it would not be in the best interests of the Company and its stockholders to pursue any of the claims raised in the Koerner Demand Letter. On August 11, 2009 the Board met and considered the report of the Evaluation Committee and unanimously rejected the Koerner Demand Letter. The resolution of these matters did not have a material financial impact on the Company.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Autodesk’s anti-piracy program, designed to enforce copyright protection of its software and conducted both internally and through the Business Software Alliance (“BSA”), from time to time the Company undertakes litigation against alleged copyright infringers or provides information to criminal justice authorities to conduct actions against alleged copyright infringers. Such lawsuits have led to counter claims alleging improper use of litigation or violation of other local law.</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Autodesk is involved in legal proceedings from time to time arising from the normal course of business activities including claims of alleged infringement of intellectual property rights, commercial, employment, piracy prosecution and other matters. In the Company’s opinion, resolution of pending matters is not expected to have a material adverse impact on its consolidated results of operations, cash flows or its financial position. However, it is possible that an unfavorable resolution of one or more such proceedings could in the future materially affect its future results of operations, cash flows or financial position in a particular period.</w:t>
      </w:r>
    </w:p>
    <w:p>
      <w:pPr>
        <w:spacing w:after="0" w:line="26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Repurchase Program</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Autodesk has a stock repurchase program that helps offset the dilution to net income per share caused by the issuance of stock under the Company’s employee stock plans, and returns excess cash generated from its business to stockholders. Autodesk did not repurchase or retire any shares of its common stock during the three and six month periods ended July 31, 2009. As of July 31, 2009, 16.1 million shares remained available for repurchase under this program. The number of shares acquired and the timing of the purchases are based on several factors, including anticipated employee stock purchases during the period, the level of the Company’s cash balances, general business and market conditions, the market price of Autodesk stock, cash on hand and available in the U.S., Company defined trading windows and other investment opportunities.</w:t>
      </w:r>
    </w:p>
    <w:p>
      <w:pPr>
        <w:spacing w:after="0" w:line="24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Comprehensive Income (Loss)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components of other comprehensive income (loss), net of taxes,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87"/>
              </w:rPr>
              <w:t>Three months ended July 31,</w:t>
            </w:r>
          </w:p>
        </w:tc>
        <w:tc>
          <w:tcPr>
            <w:tcW w:w="1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on derivative instruments, net of taxes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Change in net unrealized loss on available-for-sale securities, net of tax benefit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cumulative foreign currency translation adjustment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860"/>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During the three and six months ended July 31, 2009, Autodesk entered into foreign currency instruments to hedge its exposure to foreign currency exchange. These hedges resulted in $7.1 million and $3.8 million of other comprehensive loss during the three and six months ended July 31, 2009, respectively. See Note 4, “Financial Instruments and Hedging Activities,” for further information regarding Autodesk’s foreign currency instruments.</w:t>
      </w:r>
    </w:p>
    <w:p>
      <w:pPr>
        <w:spacing w:after="0" w:line="22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Income (Loss) Per Share</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Basic net income (loss) per share is computed using the weighted average number of shares of common stock outstanding for the period, including restricted stock awards and excluding unvested stock options and restricted stock units. Diluted net income (loss) per share is based upon the weighted average shares of common stock outstanding for the period and dilutive potential common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shares, including the effect of unvested stock options and restricted stock units under the treasury stock method. The following table sets forth the computation of the numerators and denominators used in the basic and diluted net income (loss) per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3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161"/>
        </w:trPr>
        <w:tc>
          <w:tcPr>
            <w:tcW w:w="8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July 31,</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89.8</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6"/>
              </w:rPr>
              <w:t>$ (21.7)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Denominator for basic net income (loss) per share—weighted average shares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224.2</w:t>
            </w:r>
          </w:p>
        </w:tc>
        <w:tc>
          <w:tcPr>
            <w:tcW w:w="70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228.0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tcPr>
          <w:p>
            <w:pPr>
              <w:ind w:left="440"/>
              <w:spacing w:after="0"/>
              <w:rPr>
                <w:sz w:val="20"/>
                <w:szCs w:val="20"/>
                <w:color w:val="auto"/>
              </w:rPr>
            </w:pPr>
            <w:r>
              <w:rPr>
                <w:rFonts w:ascii="Arial" w:cs="Arial" w:eastAsia="Arial" w:hAnsi="Arial"/>
                <w:sz w:val="18"/>
                <w:szCs w:val="18"/>
                <w:color w:val="auto"/>
              </w:rPr>
              <w:t>Denominator for dilutive net income (loss) per share</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231.1</w:t>
            </w:r>
          </w:p>
        </w:tc>
        <w:tc>
          <w:tcPr>
            <w:tcW w:w="70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228.0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232.1</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 (0.09)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0.39</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6"/>
              </w:rPr>
              <w:t>$ (0.09)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The computation of diluted net income (loss) per share does not include shares that are anti-dilutive under the treasury stock method because their exercise prices are higher than the average market value of Autodesk’s stock during the period. For the three months ended July 31, 2009 and 2008, 22.3 million and</w:t>
      </w:r>
    </w:p>
    <w:p>
      <w:pPr>
        <w:ind w:right="20"/>
        <w:spacing w:after="0" w:line="323" w:lineRule="auto"/>
        <w:rPr>
          <w:sz w:val="20"/>
          <w:szCs w:val="20"/>
          <w:color w:val="auto"/>
        </w:rPr>
      </w:pPr>
      <w:r>
        <w:rPr>
          <w:rFonts w:ascii="Arial" w:cs="Arial" w:eastAsia="Arial" w:hAnsi="Arial"/>
          <w:sz w:val="16"/>
          <w:szCs w:val="16"/>
          <w:color w:val="auto"/>
        </w:rPr>
        <w:t>15.8 million potentially dilutive shares, respectively, were excluded from the computation of diluted net income per share. For the six months ended July 31, 2009 and 2008, 31.4 million and 14.7 million potentially dilutive shares, respectively, were excluded from the computation of diluted net income per share.</w:t>
      </w:r>
    </w:p>
    <w:p>
      <w:pPr>
        <w:spacing w:after="0" w:line="21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Segments</w:t>
      </w:r>
    </w:p>
    <w:p>
      <w:pPr>
        <w:spacing w:after="0" w:line="90" w:lineRule="exact"/>
        <w:rPr>
          <w:sz w:val="20"/>
          <w:szCs w:val="20"/>
          <w:color w:val="auto"/>
        </w:rPr>
      </w:pPr>
    </w:p>
    <w:p>
      <w:pPr>
        <w:ind w:right="500" w:firstLine="456"/>
        <w:spacing w:after="0" w:line="294" w:lineRule="auto"/>
        <w:rPr>
          <w:sz w:val="20"/>
          <w:szCs w:val="20"/>
          <w:color w:val="auto"/>
        </w:rPr>
      </w:pPr>
      <w:r>
        <w:rPr>
          <w:rFonts w:ascii="Arial" w:cs="Arial" w:eastAsia="Arial" w:hAnsi="Arial"/>
          <w:sz w:val="16"/>
          <w:szCs w:val="16"/>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Location Services, which Autodesk disposed of in February 2009, is not included in any of the above reportable segments, and is reflected as Other. Autodesk has no material inter-segment revenue.</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The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PSEB, consisting of Autodesk’s core platform, AutoCAD, underpins the Company’s design offerings for all industries. AutoCAD provides a platform for Autodesk’s developer partners to build custom solutions for a range of diverse design-oriented markets and for AEC and MFG to offer tailored versions of AutoCAD for their markets. PSEB’s revenue primarily includes revenue from sales of licenses of Autodesk’s 2D horizontal products, AutoCAD and AutoCAD LT.</w:t>
      </w:r>
    </w:p>
    <w:p>
      <w:pPr>
        <w:spacing w:after="0" w:line="143" w:lineRule="exact"/>
        <w:rPr>
          <w:sz w:val="20"/>
          <w:szCs w:val="20"/>
          <w:color w:val="auto"/>
        </w:rPr>
      </w:pPr>
    </w:p>
    <w:p>
      <w:pPr>
        <w:ind w:right="320" w:firstLine="456"/>
        <w:spacing w:after="0" w:line="289" w:lineRule="auto"/>
        <w:rPr>
          <w:sz w:val="20"/>
          <w:szCs w:val="20"/>
          <w:color w:val="auto"/>
        </w:rPr>
      </w:pPr>
      <w:r>
        <w:rPr>
          <w:rFonts w:ascii="Arial" w:cs="Arial" w:eastAsia="Arial" w:hAnsi="Arial"/>
          <w:sz w:val="16"/>
          <w:szCs w:val="16"/>
          <w:color w:val="auto"/>
        </w:rPr>
        <w:t>AEC solutions enable customers and their clients to reduce inefficiencies in building design, civil engineering, and construction. AEC solutions also support information needs across the project lifecycle. The segment’s solutions include advanced technology for building information modeling (“BIM”), AutoCAD-based design and documentation productivity software, and collaborative project management software. BIM, a paradigm for building and civil engineering design, documentation and construction, enables users to exchange and analyze complex design and construction information in digital form, and through its use enables users to design and construct more environmentally sustainable or “green” projects through analysis of land use, drainage patterns, materials, quantities, energy use, and lighting in a virtual model. AEC also includes technology developed specifically for Geospatial and Process and Power design markets. AEC’s revenue primarily includes revenue from the sales of licenses of Autodesk Revit products, AutoCAD Civil 3D and AutoCAD Architecture.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MFG provides the manufacturing industry with comprehensive design, data management and digital prototyping solutions, enabling customers to rapidly adopt 3D model-based design, create and validate designs in simple 2D or 3D environments, and manage designs from the conceptual design phase through the manufacturing phase. MFG’s revenue primarily includes revenue from the sales of licenses of Autodesk Inventor products, AutoCAD Mechanical and Autodesk Moldflow.</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M&amp;E is comprised of two product groups: Animation, including design visualization, and Advanced Systems. Animation products such as Autodesk 3ds Max and Autodesk Maya provide advanced tools for 3D modeling, animation, rendering solutions, and design visualization and visual effects production. Advanced Systems products provide color grading, editing, finishing and visual effects, compositing, media mastering and encoding technology and increase the productivity of creative professionals.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32" w:lineRule="exact"/>
        <w:rPr>
          <w:sz w:val="20"/>
          <w:szCs w:val="20"/>
          <w:color w:val="auto"/>
        </w:rPr>
      </w:pPr>
    </w:p>
    <w:p>
      <w:pPr>
        <w:ind w:right="680" w:firstLine="456"/>
        <w:spacing w:after="0" w:line="259" w:lineRule="auto"/>
        <w:rPr>
          <w:sz w:val="20"/>
          <w:szCs w:val="20"/>
          <w:color w:val="auto"/>
        </w:rPr>
      </w:pPr>
      <w:r>
        <w:rPr>
          <w:rFonts w:ascii="Arial" w:cs="Arial" w:eastAsia="Arial" w:hAnsi="Arial"/>
          <w:sz w:val="18"/>
          <w:szCs w:val="18"/>
          <w:color w:val="auto"/>
        </w:rPr>
        <w:t>Autodesk evaluates each segment’s performance on the basis of gross profit. Autodesk currently does not separately accumulate and report asset information by segment except for goodwill, which is disclosed in Note 12, “Goodwill.” Information concerning the operations of Autodesk’s reportable segments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8"/>
              </w:rPr>
              <w:t>Three months ended</w:t>
            </w:r>
          </w:p>
        </w:tc>
        <w:tc>
          <w:tcPr>
            <w:tcW w:w="15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61"/>
        </w:trPr>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July 31,</w:t>
            </w:r>
          </w:p>
        </w:tc>
        <w:tc>
          <w:tcPr>
            <w:tcW w:w="15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8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2008 </w:t>
            </w:r>
            <w:r>
              <w:rPr>
                <w:rFonts w:ascii="Arial" w:cs="Arial" w:eastAsia="Arial" w:hAnsi="Arial"/>
                <w:sz w:val="16"/>
                <w:szCs w:val="16"/>
                <w:b w:val="1"/>
                <w:bCs w:val="1"/>
                <w:color w:val="auto"/>
                <w:vertAlign w:val="superscript"/>
              </w:rPr>
              <w:t>(2)</w:t>
            </w:r>
          </w:p>
        </w:tc>
        <w:tc>
          <w:tcPr>
            <w:tcW w:w="320" w:type="dxa"/>
            <w:vAlign w:val="bottom"/>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1"/>
                <w:szCs w:val="11"/>
                <w:b w:val="1"/>
                <w:bCs w:val="1"/>
                <w:color w:val="auto"/>
              </w:rPr>
              <w:t xml:space="preserve">2008 </w:t>
            </w:r>
            <w:r>
              <w:rPr>
                <w:rFonts w:ascii="Arial" w:cs="Arial" w:eastAsia="Arial" w:hAnsi="Arial"/>
                <w:sz w:val="16"/>
                <w:szCs w:val="16"/>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$ 145.0</w:t>
            </w:r>
          </w:p>
        </w:tc>
        <w:tc>
          <w:tcPr>
            <w:tcW w:w="1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$ 237.5</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$300.7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175.9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Manufacturing</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1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130.7</w:t>
            </w:r>
          </w:p>
        </w:tc>
        <w:tc>
          <w:tcPr>
            <w:tcW w:w="500" w:type="dxa"/>
            <w:vAlign w:val="bottom"/>
          </w:tcPr>
          <w:p>
            <w:pPr>
              <w:jc w:val="right"/>
              <w:spacing w:after="0"/>
              <w:rPr>
                <w:sz w:val="20"/>
                <w:szCs w:val="20"/>
                <w:color w:val="auto"/>
              </w:rPr>
            </w:pPr>
            <w:r>
              <w:rPr>
                <w:rFonts w:ascii="Arial" w:cs="Arial" w:eastAsia="Arial" w:hAnsi="Arial"/>
                <w:sz w:val="18"/>
                <w:szCs w:val="18"/>
                <w:color w:val="auto"/>
              </w:rPr>
              <w:t>191.2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$ 414.9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$ 619.5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840.7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1,218.3</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$ 135.9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$ 225.6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112.4</w:t>
            </w:r>
          </w:p>
        </w:tc>
        <w:tc>
          <w:tcPr>
            <w:tcW w:w="1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162.5</w:t>
            </w:r>
          </w:p>
        </w:tc>
        <w:tc>
          <w:tcPr>
            <w:tcW w:w="500" w:type="dxa"/>
            <w:vAlign w:val="bottom"/>
          </w:tcPr>
          <w:p>
            <w:pPr>
              <w:jc w:val="right"/>
              <w:spacing w:after="0"/>
              <w:rPr>
                <w:sz w:val="20"/>
                <w:szCs w:val="20"/>
                <w:color w:val="auto"/>
              </w:rPr>
            </w:pPr>
            <w:r>
              <w:rPr>
                <w:rFonts w:ascii="Arial" w:cs="Arial" w:eastAsia="Arial" w:hAnsi="Arial"/>
                <w:sz w:val="18"/>
                <w:szCs w:val="18"/>
                <w:color w:val="auto"/>
              </w:rPr>
              <w:t>228.8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51.8</w:t>
            </w:r>
          </w:p>
        </w:tc>
        <w:tc>
          <w:tcPr>
            <w:tcW w:w="500" w:type="dxa"/>
            <w:vAlign w:val="bottom"/>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Unallocated </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$ 364.8</w:t>
            </w:r>
          </w:p>
        </w:tc>
        <w:tc>
          <w:tcPr>
            <w:tcW w:w="180" w:type="dxa"/>
            <w:vAlign w:val="bottom"/>
          </w:tcPr>
          <w:p>
            <w:pPr>
              <w:spacing w:after="0"/>
              <w:rPr>
                <w:sz w:val="19"/>
                <w:szCs w:val="19"/>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$ 559.8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738.3</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1,100.6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460" w:hanging="452"/>
        <w:spacing w:after="0" w:line="228" w:lineRule="auto"/>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Unallocated amounts primarily relate to corporate expenses and other costs and expenses that are managed outside the reportable segments, including amortization of purchased technology and stock-based compensation expense.</w:t>
      </w:r>
    </w:p>
    <w:p>
      <w:pPr>
        <w:spacing w:after="0" w:line="1" w:lineRule="exact"/>
        <w:rPr>
          <w:rFonts w:ascii="Arial" w:cs="Arial" w:eastAsia="Arial" w:hAnsi="Arial"/>
          <w:sz w:val="22"/>
          <w:szCs w:val="22"/>
          <w:color w:val="auto"/>
          <w:vertAlign w:val="superscript"/>
        </w:rPr>
      </w:pPr>
    </w:p>
    <w:p>
      <w:pPr>
        <w:ind w:left="460" w:hanging="452"/>
        <w:spacing w:after="0" w:line="214" w:lineRule="auto"/>
        <w:tabs>
          <w:tab w:leader="none" w:pos="460" w:val="left"/>
        </w:tabs>
        <w:numPr>
          <w:ilvl w:val="0"/>
          <w:numId w:val="27"/>
        </w:numPr>
        <w:rPr>
          <w:rFonts w:ascii="Arial" w:cs="Arial" w:eastAsia="Arial" w:hAnsi="Arial"/>
          <w:sz w:val="21"/>
          <w:szCs w:val="21"/>
          <w:color w:val="auto"/>
          <w:vertAlign w:val="superscript"/>
        </w:rPr>
      </w:pPr>
      <w:r>
        <w:rPr>
          <w:rFonts w:ascii="Arial" w:cs="Arial" w:eastAsia="Arial" w:hAnsi="Arial"/>
          <w:sz w:val="17"/>
          <w:szCs w:val="17"/>
          <w:color w:val="auto"/>
        </w:rPr>
        <w:t>Gross profit by segment for the three and six months ended July 31, 2008 has been restated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Autodesk’s operations by geographic area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220" w:type="dxa"/>
            <w:vAlign w:val="bottom"/>
          </w:tcPr>
          <w:p>
            <w:pPr>
              <w:spacing w:after="0"/>
              <w:rPr>
                <w:sz w:val="14"/>
                <w:szCs w:val="14"/>
                <w:color w:val="auto"/>
              </w:rPr>
            </w:pPr>
          </w:p>
        </w:tc>
        <w:tc>
          <w:tcPr>
            <w:tcW w:w="13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July 31,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Americas</w:t>
            </w:r>
          </w:p>
        </w:tc>
        <w:tc>
          <w:tcPr>
            <w:tcW w:w="4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860"/>
              <w:spacing w:after="0"/>
              <w:rPr>
                <w:sz w:val="20"/>
                <w:szCs w:val="20"/>
                <w:color w:val="auto"/>
              </w:rPr>
            </w:pPr>
            <w:r>
              <w:rPr>
                <w:rFonts w:ascii="Arial" w:cs="Arial" w:eastAsia="Arial" w:hAnsi="Arial"/>
                <w:sz w:val="18"/>
                <w:szCs w:val="18"/>
                <w:color w:val="auto"/>
              </w:rPr>
              <w:t>Other Americas</w:t>
            </w:r>
          </w:p>
        </w:tc>
        <w:tc>
          <w:tcPr>
            <w:tcW w:w="43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Americas</w:t>
            </w:r>
          </w:p>
        </w:tc>
        <w:tc>
          <w:tcPr>
            <w:tcW w:w="4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202.6</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Europe, Middle East and Africa</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157.0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267.2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324.1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Asia Pacific</w:t>
            </w:r>
          </w:p>
        </w:tc>
        <w:tc>
          <w:tcPr>
            <w:tcW w:w="43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color w:val="auto"/>
              </w:rPr>
              <w:t>Japan</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Asia Pacific</w:t>
            </w:r>
          </w:p>
        </w:tc>
        <w:tc>
          <w:tcPr>
            <w:tcW w:w="4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Total Asia Pacific</w:t>
            </w:r>
          </w:p>
        </w:tc>
        <w:tc>
          <w:tcPr>
            <w:tcW w:w="43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149.7</w:t>
            </w:r>
          </w:p>
        </w:tc>
        <w:tc>
          <w:tcPr>
            <w:tcW w:w="2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$ 414.9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619.5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360" w:type="dxa"/>
            <w:vAlign w:val="bottom"/>
            <w:vMerge w:val="restart"/>
          </w:tcPr>
          <w:p>
            <w:pPr>
              <w:jc w:val="right"/>
              <w:ind w:right="2632"/>
              <w:spacing w:after="0"/>
              <w:rPr>
                <w:sz w:val="20"/>
                <w:szCs w:val="20"/>
                <w:color w:val="auto"/>
              </w:rPr>
            </w:pPr>
            <w:r>
              <w:rPr>
                <w:rFonts w:ascii="Arial" w:cs="Arial" w:eastAsia="Arial" w:hAnsi="Arial"/>
                <w:sz w:val="18"/>
                <w:szCs w:val="18"/>
                <w:color w:val="auto"/>
              </w:rPr>
              <w:t>28</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anticipated future operating results, (including net revenue, operating margins, product backlog, upgrade, crossgrade and maintenance revenue, and revenue by geography), the impact of our restructuring activities, the impact of acquisitions and investment activities, the effect of fluctuations in exchange rates on net revenue and expenses, costs and expenses, (including cost of revenue and operating expenses), future income, our anticipated tax rate and our ability to successfully expand our 2D horizontal customer base to our 2D vertical products and 3D model-based design products. In addition, forward-looking statements also consist of statements involving expectations regarding product acceptance, activity related to our stock repurchase program,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260" w:firstLine="456"/>
        <w:spacing w:after="0" w:line="314" w:lineRule="auto"/>
        <w:rPr>
          <w:sz w:val="20"/>
          <w:szCs w:val="20"/>
          <w:color w:val="auto"/>
        </w:rPr>
      </w:pPr>
      <w:r>
        <w:rPr>
          <w:rFonts w:ascii="Arial" w:cs="Arial" w:eastAsia="Arial" w:hAnsi="Arial"/>
          <w:sz w:val="15"/>
          <w:szCs w:val="15"/>
          <w:color w:val="auto"/>
        </w:rPr>
        <w:t>Our goal is to be the world’s leading 2D and 3D design, engineering, and entertainment software and services company for the architecture, engineering and construction, manufacturing, geospatial mapping, and digital media and entertainment markets. Worldwide business trends such as globalization, sustainability, investment in infrastructure, and the increasing desire to keep data digital, are creating pressure on our customers to improve innovation while enhancing productivity. We enable customer innovation by delivering the broadest portfolio of products and services for the digital design, visualization, and simulation of real-world project performance. Our products help our customers increase efficiency and productivity while solving business challenges. Our customers are seeking differentiation through design, and we believe our products provide a competitive advantage to succeed in this environment.</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achieve our goal, we believe that we can capitalize on our competitive advantages. Specifically, we believe that our ability to make technology available to mainstream markets is one of our competitive advantages. By innovating in existing technology categories, we bring powerful design products to volume markets. Our products are designed to be easy to learn and use, and to provide customers low cost of deployment, low total cost of ownership and a rapid return on investment. In addition, our software architecture allows for extensibility and integration with other products. We believe that our technological leadership, brand recognition, breadth of product line and large installed base will help us manage through the economic downturn and position us well for an eventual recovery.</w:t>
      </w:r>
    </w:p>
    <w:p>
      <w:pPr>
        <w:spacing w:after="0" w:line="14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also believe that our large global network of distributors and resellers, third-party developers, customers, and students is a competitive advantage. These relationships provide us with a broad reach into volume markets. Our distributor and reseller network is extensive and provides our customers with global resources for the purchase and support of our products as well as resources for effective and cost efficient training services. We believe that the strength of our channel partners will help us maintain a leadership position throughout the economic downturn. The overall health of our channel partners remains vitally important to us. We have an active partner assistance program in place on a global basis, and we will continue to work closely with our partners in a collaborative effort to manage through the current economic downturn. We have a significant number of registered third-party developers that create products that operate with our software products, further extending our reach into volume markets. Users trained on our products are broadly available both from educational institutions and the existing work force, reducing the cost of training for our customers. To train the next generation of users, we offer education programs, including classroom support, standardized curricula, instructor development, and specially priced software-purchasing options.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strategy to grow over the long term derives from these core strengths. Our growth strategy includes continually increasing the business value of our design tools in a number of ways, and improving the performance and functionality of our existing products with each new release. Our most recent release began in March 2009. Beyond our 2D horizontal design products, we develop products addressing industry-specific needs including 2D vertical and 3D model-based design product offerings. We continually strive to improve our product functionality and specialization by industry while increasing product interoperability and usability. We are also considering innovative ways of delivering better user experiences to the customers we serve. As a result, we seek to drive technology democratization and increase customer loyalty.</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we believe that expanding our 2D horizontal product customers’ portfolios to include our 2D vertical products and 3D model-based design products presents a meaningful growth opportunity and is an important part of our overall strategy. Although we expect that the adoption of 2D vertical products and 3D model-based design products will increase the productivity of our customers in all industries and result in richer design data, this migration also poses various risks to us. In particular, if we do not successfully expand our 2D horizontal customer base to our 2D vertical products and 3D model-based design products as expected, we would not realize the growth we expect and our business would be adversely affected.</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Expanding our geographic coverage is another key element of our growth strategy. In particular we believe that emerging economies continue to present long-term growth opportunities for us. While we believe there are long-term growth opportunities in emerging economies, conducting business in these countries presents significant challenges, including the current economic contraction, greater volatility, intellectual property protection and software piracy.</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integration challenges and may, in certain instances, negatively impact our operating margins. We continually review these trade-offs while making a decision of whether to enter into an acquisition. We currently anticipate that we will selectively acquire products, technology and businesses as compelling opportunities that promote our strategy become available, but the pace at which we make such investments will vary depending upon our business needs, the availability of suitable sellers and technology, and our own financial condition. The size and frequency of transactions to acquire products, technology and businesses decreased during the first half of fiscal 2010 as compared to the prior fiscal year.</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contraction in most countries and markets, and global financial market instability, including the continuation of a tight credit market, is adversely impacting our business. We have taken, and continue to take, actions to address these global economic changes and their impact on our financial results and outlook, including revenue and demand stimulation activities as well as cost reduction steps. Our strategy remains focused on leveraging our core strengths and investing in our long-term growth opportunities to achieve our goal of being the world’s leading 2D and 3D design, engineering, and entertainment software and services company for the architecture, engineering and construction, manufacturing, geospatial mapping, and digital media and entertainment markets.</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strategy depends upon a number of assumptions, including our ability to make our technology available to mainstream markets; leverage our large global network of distributors and resellers, third-party developers, customers, and students; improve the performance and functionality of our products; and that world-wide business trends occur as we currently anticipate.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effect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We have described our significant accounting policies in Note 1, “Business and Summary of Significant Accounting Policies,” in the Notes to Consolidated Financial Statements in our Form 10-K for the fiscal year ended January 31, 2009 (the “2009 Form 10-K”). In addition, we highlighted those policies that involve a higher degree of judgment and complexity with further discussion of these judgmental areas in Item 7, “Management’s Discussion and Analysis of Financial Condition and Results of Operations” in our 2009 Form 10-K. We believe these policies are the most critical to aid in fully understanding and evaluating our financial condition and results of operations. Please refer to Note 1, “Business and Summary of Significant Accounting Policies,” in the Notes to Consolidated Financial Statements and Item 7, “Management’s Discussion and Analysis of Financial Condition and Results of Operations” in our 2009 Form 10-K filed on March 20, 2009.</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Updates on the relevant periodic financial disclosures related to these policies are provided below.</w:t>
      </w:r>
    </w:p>
    <w:p>
      <w:pPr>
        <w:spacing w:after="0" w:line="17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At July 31, 2009, we had $360.2 million of short- and long-term marketable securities. We review our investments in marketable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quarterly for indicators of other-than-temporary impairment. This determination requires significant judgment. In making this determination, we employ a systematic methodology that considers available quantitative and qualitative evidence. If the cost of an investment exceeds its fair value, we evaluate, among other factors, general market conditions, the duration and extent to which the fair value is less than cost, and our intent and ability to hold the investment. We also consider specific adverse conditions related to the financial health of, and business outlook for, the sponsor, including industry and sector performance, operational and financing cash flow factors, and rating agency actions. Once a decline in fair value is determined to be other-than-temporary, an impairment charge is recorded. Prior to the quarter ended July 31, 2009, all other-than-temporary impairment charges were recorded to our Condensed Consolidated Statements of Operations. Effective with the quarter ended July 31, 2009, only the credit portion of other-than-temporary impairment charges will be recorded to our Condensed Consolidated Statements of Operations, with the remainder recorded in accumulated other comprehensive income. A credit related impairment results in a new cost basis in the investment recorded in our Condensed Consolidated Balance Sheets. If market, industry, and/or sponsor conditions deteriorate, we may incur future impairments.</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Goodwill consists of the excess of cost over the fair value of net assets acquired in business combinations. We assign goodwill to the reportable</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associated with each business combination, and we test goodwill for impairment annually in the fourth quarter or more often if and when circumstances indicate potential impairment. When assessing goodwill for impairment, we use discounted cash flow models which include assumptions regarding projected cash flows (“Income Approach”) and corroborate it with the estimated consideration which we would receive if there were to be a sale of the reporting segment (“Market Approach”). Variances in these assumptions could have a significant impact on our conclusion as to whether goodwill is impaired, or the amount of any impairment charge. Impairment charges, if any, result from instances where the fair values of net assets associated with goodwill are less than their carrying values.</w:t>
      </w:r>
    </w:p>
    <w:p>
      <w:pPr>
        <w:spacing w:after="0" w:line="14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recorded an impairment charge of $21.0 million during the six months ended July 31, 2009 representing the entire goodwill balance of the Media and Entertainment (“M&amp;E”) segment as of April 30, 2009. This goodwill balance related to the M&amp;E segment’s fourth quarter fiscal 2009 acquisition of substantially all of the assets of Softimage. In May 2009, we concluded that an impairment of goodwill had occurred as of April 30, 2009 due to revisions to our revenue and cash flow projections prepared in the second half of the first quarter of fiscal 2010 in response to the significant and sustained revenue declines we were experiencing in all segments and geographies in the first quarter of fiscal 2010. The revenue and cash flow projections were substantially impacted for all segments, and the M&amp;E segment was the only segment which had a current fair value of its future discounted cash flows that fell below the carrying value of its assets.</w:t>
      </w:r>
    </w:p>
    <w:p>
      <w:pPr>
        <w:spacing w:after="0" w:line="14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process of evaluating the potential impairment of goodwill is subjective and requires significant judgment at many points during the analysis. Variances in the assumptions described above could have a significant impact on our conclusion as to whether goodwill is impaired, or the amount of any impairment charge. The value of our goodwill could also be impacted by future adverse changes such as: (i) declines in our actual operating results, (ii) a sustained decline in our market capitalization, (iii) further significant slowdown in the worldwide economy or the industries we serve, or (iv) changes in our business strategy or our internal operating results forecasts. Although we believe the assumptions, judgments and estimates we have made in the past have been reasonable and appropriate, different assumptions, judgments and estimates could materially affect our reported financial results. As of July 31, 2009, a hypothetical 10% decrease in the fair value of our reporting units would not have an impact on the carrying value of goodwill nor result in additional impairment of goodwill.</w:t>
      </w:r>
    </w:p>
    <w:p>
      <w:pPr>
        <w:spacing w:after="0" w:line="14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Product Returns Reserves. </w:t>
      </w:r>
      <w:r>
        <w:rPr>
          <w:rFonts w:ascii="Arial" w:cs="Arial" w:eastAsia="Arial" w:hAnsi="Arial"/>
          <w:sz w:val="18"/>
          <w:szCs w:val="18"/>
          <w:color w:val="auto"/>
        </w:rPr>
        <w:t>Our product returns reserves were $10.2 million at July 31, 2009 and $13.0 million at January 31, 2009. Actual product returns</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applicable revenue were 5.5% and 4.2% for the three months ended July 31, 2009 and 2008, respectively, and 5.5% and 3.6% for the six months ended July 31, 2009 and 2008, respectively. Actual product returns as a percentage of applicable revenue has increased during the three and six months ended July 31, 2009 as compared to the same periods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of the prior fiscal year primarily due to the decreases in our revenue during those periods. Actual product returns in absolute dollars have decreased during the three and six months ended July 31, 2009 as compared to the same periods of the prior fiscal year. During the three months ended July 31, 2009 and 2008, we recorded additions to our product returns reserve of $9.5 million and $15.1 million, respectively, which reduced our revenue. During the six months ended July 31, 2009 and 2008, we recorded additions to our product returns reserve of $21.9 million and $29.5 million, respectively, which reduced our revenue.</w:t>
      </w:r>
    </w:p>
    <w:p>
      <w:pPr>
        <w:spacing w:after="0" w:line="9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At July 31, 2009, we had $141.0 million of net deferred tax assets, mostly arising from tax credits, net operating losses, and timing</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for reserves, accrued liabilities, stock options, purchased technologies and capitalized software, partially offset by the establishment of U.S. deferred tax liabilities on unremitted earnings from certain foreign subsidiaries and a valuation allowance against California deferred tax assets. We perform a quarterly assessment of the recoverability of these net deferred tax assets, which is principally dependent upon our achievement of projected future taxable income across a specific mix of geographies. Our judgments regarding future profitability may change due to future market conditions and other factors. These changes, if any, may require possible material adjustments to these net deferred tax assets, resulting in an adjustment to net income in the period when such determinations are made.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Six Months Ended July 31, 2009</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results for the first half of fiscal 2010 continue to reflect the global economic downturn, which has impacted our business on almost every front. Global macro economic conditions did not show meaningful signs of improvement during the three and six months ended July 31, 2009, although some economic indicators were mixed at the end of our second quarter of fiscal 2010. Our overall business visibility improved somewhat in the second quarter of fiscal 2010, but remains limited. In the past we have indicated that job losses and the availability of credit in the major industries we serve are important indicators for our business. There have been significant job losses around the world over the past seven quarters. Additionally, although the availability of credit appears to have improved, it is not clear whether business has normalized for our customers and partners during the quarter ended July 31, 2009.</w:t>
      </w:r>
    </w:p>
    <w:p>
      <w:pPr>
        <w:spacing w:after="0" w:line="12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We believe that the economic downturn, as well as the economic pressure on our customers, has decreased demand for our products as customers have reduced their work force resulting in fewer seats of our design software sold and fewer maintenance contracts being renewed. Consequently, we experienced revenue contraction in most products and all reportable segments during the three and six months ended July 31, 2009, as compared to the same periods in the prior fiscal year. However, we have seen sequential revenue growth in several parts of our business during the second quarter of fiscal 2010, including emerging economies, our Manufacturing segment, the Asia Pacific region, our 3D model-based design products and 3D animation software. Despite the sequential growth in these areas, it is not clear to us whether this represents a sustainable trend, or is an indication of a broad-based stabilization of our business.</w:t>
      </w:r>
    </w:p>
    <w:p>
      <w:pPr>
        <w:spacing w:after="0" w:line="105"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During the three months ended July 31, 2009, as compared to the same period of the prior fiscal year, net revenue decreased 33%, gross profit decreased 35% and income from operations decreased 98%. During the six months ended July 31, 2009, as compared to the same period of the prior fiscal year, net revenue decreased 31%, gross profit decreased 33% and income from operations decreased 107%, resulting in an operating loss for the first half of fiscal 2010.</w:t>
      </w:r>
    </w:p>
    <w:p>
      <w:pPr>
        <w:spacing w:after="0" w:line="8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98% decrease in income from operations during the quarter ended July 31, 2009, as compared to the same period in the prior fiscal year, was primarily due to the 33% reduction of our net revenue. We also recorded restructuring charges of $26.4 million, or 22 percentage points of the 98% decrease, which contributed to the decline in income from operations. The 107% decrease in income from operations during the six months ended July 31, 2009, as compared to the same period in the prior fiscal year, was primarily due to the 31% reduction of our net revenue. We also recorded restructuring charges of $42.9 million, or 18 percentage points of the 107% decrease, and a goodwill impairment charge of $21.0 million, or 9 percentage points of the 107% decrease, associated with our M&amp;E segment. Both of these charges contributed to the decline in income from operations. Our spending decisions are based in part on our expectations for future revenue and are relatively fixed in the short term. Accordingly, our ability to adjust our operating costs for any revenue shortfall below expectations could have an immediate and significant adverse effect on our profitability.</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second quarter of fiscal 2010 we initiated a restructuring plan, which will reduce headcount by approximately 430 positions globally and consolidate up to 32 leased facilities around the world in order to reduce our operating expenses. We are taking these and other actions in an attempt to better align our cost structure with our recent and anticipated financial results. Other important actions include discretionary spending and contingent labor expense reductions. In taking these actions, we may incur additional costs which could negatively impact our net income and cash flows from operating activities.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generate a significant amount of our revenue in the U.S., Japan, Germany, France, Italy, the United Kingdom, Canada, China, South Korea and Australia. The stronger value of the U.S. dollar relative to other currencies had a negative effect of $10.0 million and $19.0 million on operating income during the three and six months ended July 31, 2009, respectively, as compared to the same periods of the prior fiscal year. Had exchange rates from the three months ended July 31, 2008 been in effect during the three months ended July 31, 2009 (“on a constant currency basis”), translated international revenue billed in local currencies would have been $23.6 million higher and operating expenses would have been $13.6 million higher. On a constant currency basis, this represents a 29% decrease in net revenue and an 89% decrease in income from operations during the three months ended July 31, 2009, as compared to the same period in the prior fiscal year. Had exchange rates from the six months ended July 31, 2008 been in effect during the six months ended July 31, 2009, translated international revenue billed in local currencies would have been $54.3 million higher and operating expenses would have been $35.3 million higher. On a constant currency basis, this represents a 27% decrease in net revenue and a 99% decrease in income from operations during the six months ended July 31, 2009, as compared to the same period in the prior fiscal year. Changes in the value of the U.S. dollar may have a significant effect on net revenue and income from operations in future periods. We use foreign currency forward and option collar contracts to reduce the exchange rate effect on the net revenue of certain anticipated transactions, but cannot completely mitigate the impact of fluctuation of foreign currency against the U.S. dollar.</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revenue for the three months ended July 31, 2009 decreased 33% as compared to the same period in the prior fiscal year due to a 48% decrease in license and other revenue, partially offset by a 3% increase in maintenance revenue. Our maintenance revenue relates to a program known by our user community as the Subscription Program. We experienced decreases in net revenue in Europe, Middle East, Africa (“EMEA”), Asia Pacific (“APAC”) and the Americas during the three months ended July 31, 2009 as compared to the same period in the prior fiscal year.</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Net revenue for the six months ended July 31, 2009 decreased 31% as compared to the same period in the prior fiscal year due to a 46% decrease in license and other revenue, partially offset by a 6% increase in maintenance revenue. We experienced decreases in net revenue in EMEA, APAC and the Americas during the six months ended July 31, 2009 as compared to the same period in the prior fiscal year.</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total operating margin decreased from 19% and 20% during the three and six months ended July 31, 2008, respectively, to a 1% operating profit and an operating loss of 2% during the three and six months ended July 31, 2009, respectively. The decrease during the three months ended July 31, 2009 was primarily due to the decrease in our net revenue and charges for restructuring. The decrease during the six months ended July 31, 2009 was primarily due to the decrease in our net revenue and charges for restructuring and goodwill impairment. Marketing and sales, research and development, and general and administrative expenses decreased during the three and six months ended July 31, 2009 as compared to the same periods of the prior fiscal year as a result of our cost saving initiatives. The reduction in costs did not occur as rapidly as the decline in net revenue during the three and six months ended July 31, 2009, and our operating margins suffered as a result.</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Even in these challenging economic times, we will continue to invest in growth and productivity initiatives so that we will be better positioned for growth when the economy improves. Over the longer term we intend to balance investments in revenue growth opportunities with our goal of increasing our operating margins. Our operating margins are very sensitive to changes in revenue, given the relatively fixed nature of most of our expenses, which consist primarily of employee-related expenditures, facilities costs, and depreciation and amortization expense.</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14% of our consolidated net revenue for the three months ended July 31, 2009 and 2008, and 14% and 15% of our consolidated net revenue for the six months ended July 31, 2009 and 2008, respectively.</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expect net revenue to decrease in absolute dollars during the third quarter of fiscal 2010, as compared to the third quarter of fiscal 2009, due to the continued global recession. As compared to the third quarter of fiscal 2009, we expect third quarter fiscal 2010 operating expenses will decrease in absolute dollars, as we continue to find ways to reduce our operating expenses to align with our financial condition, and to increase as a percentage of net revenue, as we expect our net revenue to decrease more rapidly than our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expenses. However, there can be no assurance that our cost structure will not increase in the future or that we will be able to align our cost structure with our actual financial results. In addition, in taking these actions, we may incur additional costs which could negatively impact our net income and cash flows from operating activities.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primary goals for the remainder of fiscal 2010 are to continue delivering our market-leading products and solutions to our customers, stimulate revenue growth, reduce expenses and invest in product functionality and new product lines while minimizing the impact of these investments on gross profit, operating margins, operating cash flow and our worldwide operations.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At July 31, 2009, we had $1,028.7 million in cash and marketable securities. We completed the quarter ended July 31, 2009 with a lower deferred revenue balance and a lower accounts receivable balance as compared to the quarter ended January 31, 2009. Our deferred revenue balance at July 31, 2009 included $443.9 million of customer maintenance contracts, which will be recognized as revenue ratably over the life of the contracts, which is predominantly one year. We had no repurchases of our common stock in the three or six months ended July 31,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6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4"/>
              </w:rPr>
              <w:t>Increase (decrease)</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4"/>
              </w:rPr>
              <w:t>Three months</w:t>
            </w:r>
          </w:p>
        </w:tc>
        <w:tc>
          <w:tcPr>
            <w:tcW w:w="2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2"/>
              </w:rPr>
              <w:t>Six months</w:t>
            </w:r>
          </w:p>
        </w:tc>
        <w:tc>
          <w:tcPr>
            <w:tcW w:w="200" w:type="dxa"/>
            <w:vAlign w:val="bottom"/>
          </w:tcPr>
          <w:p>
            <w:pPr>
              <w:spacing w:after="0"/>
              <w:rPr>
                <w:sz w:val="14"/>
                <w:szCs w:val="14"/>
                <w:color w:val="auto"/>
              </w:rPr>
            </w:pPr>
          </w:p>
        </w:tc>
        <w:tc>
          <w:tcPr>
            <w:tcW w:w="16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4"/>
              </w:rPr>
              <w:t>Increase (decrease)</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860" w:type="dxa"/>
            <w:vAlign w:val="bottom"/>
            <w:gridSpan w:val="3"/>
          </w:tcPr>
          <w:p>
            <w:pPr>
              <w:jc w:val="center"/>
              <w:ind w:left="56"/>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left="56"/>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July 31,</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left="36"/>
              <w:spacing w:after="0"/>
              <w:rPr>
                <w:sz w:val="20"/>
                <w:szCs w:val="20"/>
                <w:color w:val="auto"/>
              </w:rPr>
            </w:pPr>
            <w:r>
              <w:rPr>
                <w:rFonts w:ascii="Arial" w:cs="Arial" w:eastAsia="Arial" w:hAnsi="Arial"/>
                <w:sz w:val="14"/>
                <w:szCs w:val="14"/>
                <w:b w:val="1"/>
                <w:bCs w:val="1"/>
                <w:color w:val="auto"/>
                <w:w w:val="89"/>
              </w:rPr>
              <w:t>prior period</w:t>
            </w:r>
          </w:p>
        </w:tc>
        <w:tc>
          <w:tcPr>
            <w:tcW w:w="2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36"/>
              <w:spacing w:after="0"/>
              <w:rPr>
                <w:sz w:val="20"/>
                <w:szCs w:val="20"/>
                <w:color w:val="auto"/>
              </w:rPr>
            </w:pPr>
            <w:r>
              <w:rPr>
                <w:rFonts w:ascii="Arial" w:cs="Arial" w:eastAsia="Arial" w:hAnsi="Arial"/>
                <w:sz w:val="14"/>
                <w:szCs w:val="14"/>
                <w:b w:val="1"/>
                <w:bCs w:val="1"/>
                <w:color w:val="auto"/>
                <w:w w:val="85"/>
              </w:rPr>
              <w:t>July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July 31,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left="36"/>
              <w:spacing w:after="0"/>
              <w:rPr>
                <w:sz w:val="20"/>
                <w:szCs w:val="20"/>
                <w:color w:val="auto"/>
              </w:rPr>
            </w:pPr>
            <w:r>
              <w:rPr>
                <w:rFonts w:ascii="Arial" w:cs="Arial" w:eastAsia="Arial" w:hAnsi="Arial"/>
                <w:sz w:val="14"/>
                <w:szCs w:val="14"/>
                <w:b w:val="1"/>
                <w:bCs w:val="1"/>
                <w:color w:val="auto"/>
                <w:w w:val="89"/>
              </w:rPr>
              <w:t>prior period</w:t>
            </w:r>
          </w:p>
        </w:tc>
        <w:tc>
          <w:tcPr>
            <w:tcW w:w="2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July 31,</w:t>
            </w:r>
          </w:p>
        </w:tc>
        <w:tc>
          <w:tcPr>
            <w:tcW w:w="0" w:type="dxa"/>
            <w:vAlign w:val="bottom"/>
          </w:tcPr>
          <w:p>
            <w:pPr>
              <w:spacing w:after="0"/>
              <w:rPr>
                <w:sz w:val="1"/>
                <w:szCs w:val="1"/>
                <w:color w:val="auto"/>
              </w:rPr>
            </w:pPr>
          </w:p>
        </w:tc>
      </w:tr>
      <w:tr>
        <w:trPr>
          <w:trHeight w:val="142"/>
        </w:trPr>
        <w:tc>
          <w:tcPr>
            <w:tcW w:w="470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(209.2)</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440.2</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(397.8)</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414.9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(204.6)</w:t>
            </w:r>
          </w:p>
        </w:tc>
        <w:tc>
          <w:tcPr>
            <w:tcW w:w="6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619.5</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(377.6)</w:t>
            </w:r>
          </w:p>
        </w:tc>
        <w:tc>
          <w:tcPr>
            <w:tcW w:w="6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1,218.3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Revenue by Geographic Area: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159.4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202.6</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 Middle East and Africa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(110.2)</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-41%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(202.1)</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(104.4)</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-35%</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(204.6)</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(377.6)</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Net Revenue by Operating Segment: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(188.7)</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(50.8)</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(77.7)</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-23%</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-30%</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-95%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-97%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0"/>
              </w:rPr>
              <w:t>-33%</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0"/>
              </w:rPr>
              <w:t>-31%</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414.9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(204.6)</w:t>
            </w:r>
          </w:p>
        </w:tc>
        <w:tc>
          <w:tcPr>
            <w:tcW w:w="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619.5</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(377.6)</w:t>
            </w:r>
          </w:p>
        </w:tc>
        <w:tc>
          <w:tcPr>
            <w:tcW w:w="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1,218.3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License and other revenue is comprised of two components: all forms of product license revenue and other revenue. Product license revenue includes revenue from the sale of new seat licenses, revenue from the Autodesk upgrade program and revenue from the Autodesk crossgrade program. Other revenue consists of revenue from Advanced Systems, consulting and training services, Autodesk Collaborative Solution hosting, and our former Location Services division. We divested the Location Services division in February 2009, and we do not expect further revenue to be received from it.</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Total license and other revenue decreased 48% during the three months ended July 31, 2009, as compared to the same period of the prior fiscal year. License and other revenue from 2D and 2D vertical products decreased 38% and license and other revenue from 3D model-based design products decreased 25%, each as compared to the same period of the prior fiscal year. These decreases were primarily due to the 50% decrease in commercial new seat revenue during the three months ended July 31, 2009. During the three months ended July 31, 2009, 32 percentage points of the 50% decrease was due to decreases in the number of seats sold, and 18 percentage points was due to lower average net revenue per seat. As a percentage of total net revenue, license and other revenue was 56% and 71% for the three months ended July 31, 2009 and 2008, respectively. Commercial new seat revenue, as a percentage of license and other revenue, was 63% and 66% for the three months ended July 31, 2009 and 2008,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Total license and other revenue decreased 46% during the six months ended July 31, 2009 as compared to the same period of the prior fiscal year. License and other revenue from 2D and 2D vertical products decreased 39% and license and other revenue from 3D model-based design products decreased 21%, each as compared to the same period of the prior fiscal year. These decreases were primarily due to the 51% decrease in commercial new seat revenue during the six months ended July 31, 2009. During the six months ended July 31, 2009, 38 percentage points of the 51% decrease was due to decreases in the number of seats sold, and 13 percentage points was due to lower average net revenue per seat. As a percentage of total net revenue, license and other revenue was 56% and 72% for the six months ended July 31, 2009 and 2008, respectively. Commercial new seat revenue, as a percentage of license and other revenue, was 60% and 68% for the six months ended July 31, 2009 and 2008, respectively.</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Also contributing to the decreases in license and other revenue during the three and six months ended July 31, 2009, as compared to the same periods of the prior fiscal year, were the respective 54% and 42% decreases in upgrade revenue, which includes crossgrade revenue. The decreases in upgrade revenue were driven primarily by current macroeconomic factors, with our customers delaying the purchase of upgrades due to uncertainties in the current business climate. Additionally, upgrade revenue was lower during the three and six months ended July 31, 2009 because of the relatively smaller size of the upgradeable base of our AutoCAD-based products, as compared to the upgradeable base of our AutoCAD-based products as of the same periods in the prior fiscal year, due to a higher percentage of customers on our maintenance program, which includes unspecified upgrades when and if available. Over the long term, we expect revenue from upgrades to decrease as we continue to move customers onto our maintenance program.</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3% of net revenue for all periods presented.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Under our maintenance program, customers are eligible to receive unspecified upgrades when and if available, downloadable training courses and online support. We recognize maintenance revenue ratably over the maintenance contract periods. Maintenance revenue increased 3% during the three months ended July 31, 2009, as compared to the same period of the prior fiscal year. During the three months ended July 31, 2009, 9 percentage points of the 3% increase was due to higher net revenue per maintenance seat, partially offset by 6 percentage points due to decreases in program enrollment. As a percentage of total net revenue, maintenance revenue was 44% and 29% for the three months ended July 31, 2009 and 2008, respectively.</w:t>
      </w:r>
    </w:p>
    <w:p>
      <w:pPr>
        <w:spacing w:after="0" w:line="11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Maintenance revenue increased 6% during the six months ended July 31, 2009, as compared to the same period of the prior fiscal year. During the six months ended July 31, 2009, 10 percentage points of the 6% increase was due to higher net revenue per maintenance seat, partially offset by 4 percentage points due to decreases in program enrollment. As a percentage of total net revenue, maintenance revenue was 44% and 28% for the six months ended July 31, 2009 and 2008, respectively. Our maintenance program provides customers with a cost effective and predictable budgetary option to obtain the productivity benefits of our new releases and enhancements when and if released during the term of their contracts. Total program enrollment at July 31, 2009 consisted of about 2.3 million users. The number of users increased from 1.7 million at April 30, 2009 to 2.3 million at July 31, 2009 primarily due to a one-time adjustment of 0.6 million educational seats for users who were migrated to a standard educational maintenance plan. These users were not previously captured in our maintenance installed base. We do not believe these additional seats will have a material impact on our future maintenance revenue. The year over year growth in billings for maintenance contracts began to slow in the second quarter of fiscal 2009, and maintenance billings declined year over year in both the three and six months ended July 31, 2009. Maintenance billings declined 11% and 12% during the three and six months ended July 31, 2009, respectively, as compared to the same periods of the prior fiscal year, due to fewer new seats sold and a decrease in renewal rates as customers have reduced their work force. The change in maintenance billings is an indicator of future maintenance revenue because we recognize the revenue ratably over the life of the maintenance contracts, which is predominantly one year. Without a meaningful near-term increase in maintenance billings, the year-over-year decline in maintenance billings will create downward pressure on maintenance revenue over the next four quarters.</w:t>
      </w:r>
    </w:p>
    <w:p>
      <w:pPr>
        <w:spacing w:after="0" w:line="12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Aggregate backlog at July 31, 2009 and January 31, 2009 was $517.9 million and $569.5 million, respectively, of which $501.9 million and $552.1 million, respectively, represented deferred revenue. Backlog related to current software license product orders that had not shipped at the end of the quarter decreased by $1.4 million during the first half of fiscal 2010 from $17.4 million at January 31, 2009 to $16.0 million at July 31, 2009. Deferred revenue consists primarily of deferred maintenance revenue. To a lesser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extent, deferred revenue consists of deferred license and other revenue derived from collaborative project management services, consulting services and deferred license sales.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Net revenue in the Americas region decreased by 21% both as reported and on a constant currency basis, during the three months ended July 31, 2009, as compared to the same period in the prior fiscal year. This decrease was primarily due to a 23% decrease in revenue from new seats, a 48% decrease in upgrade revenue and a 3% decrease in maintenance revenue in the Americas. Had exchange rates from the three months ended July 31, 2008 been in effect during the three months ended July 31, 2009, translated net revenue in the Americas would have been $0.4 million higher. Net revenue in the Americas region decreased by 18% both as reported and on a constant currency basis, during the six months ended July 31, 2009, as compared to the same period in the prior fiscal year. This decrease was primarily due to a 34% decrease in revenue from new seats and a 13% decrease in upgrade revenue in the Americas. These decreases were partially offset by a 3% increase in maintenance revenue. Had exchange rates from the six months ended July 31, 2008 been in effect during the six months ended July 31, 2009, translated net revenue in the Americas would have been $1.2 million higher. Growth in the Americas continues to be affected by a contracting economy that impacted growth rates for all of our products during the three and six months ended July 31, 2009.</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 in the EMEA region decreased by 41%, or 32% on a constant currency basis, during the three months ended July 31, 2009 as compared to the same period of the prior fiscal year. The decrease was primarily due to a 58% decrease in new seat revenue and a 57% decrease in revenue from upgrades, partially offset by a 1% increase in maintenance revenue. The EMEA region’s decline in revenue during the three months ended July 31, 2009 was primarily due to economic contraction in virtually all countries in the region. The decrease in our revenue was led by emerging economy countries followed by the United Kingdom, Germany, Italy and France. The negative effect of the stronger value of the U.S. dollar relative to the euro, the British pound and other European currencies also contributed to the decrease in net revenue in EMEA. Had exchange rates from the three months ended July 31, 2008 been in effect during the three months ended July 31, 2009, translated net revenue in EMEA would have been $24.3 million higher. Net revenue in the EMEA region decreased by 38%, or 28% on a constant currency basis, during the six months ended July 31, 2009 as compared to the same period of the prior fiscal year. The decrease was primarily due to a 58% decrease in new seat revenue and a 53% decrease in revenue from upgrades, partially offset by a 3% increase in maintenance revenue. The EMEA region’s decreased growth during the six months ended July 31, 2009 was primarily due to economic contraction in virtually all countries in the region. The decrease in our revenue was led by emerging economy countries followed by the United Kingdom, France, Italy and Germany. The negative effect of the stronger value of the U.S. dollar relative to the euro, the British pound and other European currencies also contributed to the decrease in net revenue in EMEA. Had exchange rates from the six months ended July 31, 2008 been in effect during the six months ended July 31, 2009, translated net revenue in EMEA would have been $55.2 million higher.</w:t>
      </w:r>
    </w:p>
    <w:p>
      <w:pPr>
        <w:spacing w:after="0" w:line="12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Net revenue in the APAC region decreased by 34%, or 35% on a constant currency basis, during the three months ended July 31, 2009, as compared to the same period of the prior fiscal year, primarily due to a 46% decrease in new seat revenue, a 58% decrease in upgrade revenue, partially offset by a 19% increase in maintenance revenue. Net revenue contraction in the APAC region during the three months ended July 31, 2009 occurred in virtually all countries, led by Japan and followed by China, South Korea, Australia and India. Had exchange rates from the three months ended July 31, 2008 been in effect during the three months ended July 31, 2009, translated net revenue in APAC would have been $1.2 million lower. Net revenue in the APAC region decreased by 35%, or 36% on a constant currency basis, during the six months ended July 31, 2009, as compared to the same period of the prior fiscal year, primarily due to a 47% decrease in new seat revenue, a 54% decrease in upgrade revenue, partially offset by an 18% increase in maintenance revenue. Net revenue contraction in the APAC region during the six months ended July 31, 2009 occurred in virtually all countries, led by Japan and followed by South Korea, China, Australia and India. Had exchange rates from the six months ended July 31, 2008 been in effect during the six months ended July 31, 2009, translated net revenue in APAC would have been $2.1 million lower.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Revenue from emerging economies decreased 45% and 43% during the three and six months ended July 31, 2009, as compared to the three and six month periods ended July 31, 2008. Revenue from emerging economies represented 15% of net revenue during the three and six months ended July 31, 2009, as compared to 18% during the same periods of the prior fiscal year. These decreases were significant factors in our international sales contraction during the three and six months ended July 31, 2009.</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believe that international net revenue will continue to comprise a majority of our total net revenue. Economic weakness in the countries that contribute a significant portion of our net revenue had, and we expect will continue to have, an adverse effect on our business in those countries. Changes in the value of the U.S. dollar relative to other currencies have significantly affected, and could continue to affect, our financial results for a given period even though we hedge a portion of our current and projected revenue. International net revenue represented 69% and 74% of our net revenue during the three months ended July 31, 2009 and 2008, respectively, and 69% and 73% of our net revenue during the six months ended July 31, 2009 and 2008,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four reportable segments: Platform Solutions and Emerging Business (“PSEB”), Architecture, Engineering and Construction (“AEC”), Manufacturing (“MFG”) and Media and Entertainment (“M&amp;E”). Location Services (“LBS”), which we disposed of in February 2009, is not included in any of the above reportable segments and is reflected as Other. In the first quarter of fiscal 2010 we reorganized our business to better align with our customers and accelerate product innovation. As part of this change there has been some product movement between business segments, including the movement of Geospatial and Process and Power design market products from PSEB to AEC. Certain reclassifications to segment revenue and gross profit have been made to prior year amounts to conform to the current presentation. We have no material inter-segment revenue.</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Net revenue for PSEB decreased 39% during the three months ended July 31, 2009, as compared to the same period of the prior fiscal year, primarily due to a 39% decrease in revenue from AutoCAD and a 38% decrease in revenue from AutoCAD LT. Net revenue for PSEB decreased 39% during the six months ended July 31, 2009, as compared to the same period of the prior fiscal year, primarily due to a 44% decrease in revenue from AutoCAD LT and a 38% decrease in revenue from AutoCAD.</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Net revenue for AEC decreased 29% during the three months ended July 31, 2009, as compared to the same period of the prior fiscal year, primarily due to a 30% decrease in revenue from Revit and a 42% decrease in revenue from ACAD Architecture. Net revenue for AEC decreased 23% during the six months ended July 31, 2009, as compared to the same period of the prior fiscal year, primarily due to a 41% decrease in revenue from AutoCAD Architecture and a 26% decrease in revenue from Revit.</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revenue for MFG decreased 25% during the three months ended July 31, 2009, as compared to the same period of the prior fiscal year, primarily due to a 29% decrease in revenue from Autodesk Inventor products and a 42% decrease in revenue from Autodesk Mechanical. Net revenue for MFG decreased 23% during the six months ended July 31, 2009, as compared to the same period of the prior fiscal year, primarily due to a 30% decrease in revenue from Autodesk Inventor products and a 40% decrease in revenue from Autodesk Mechanical.</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revenue for M&amp;E decreased 32% during the three months ended July 31, 2009, as compared to the same period of the prior fiscal year, primarily due to a 47% decrease in revenue from Advanced Systems and a 20% decrease in revenue from our Animation product group. The decrease in Animation revenue was primarily due to a 39% decrease in revenue from Autodesk 3ds Max and a 10% decrease in revenue from Maya. Net revenue for M&amp;E decreased 30% during the six months ended July 31, 2009, as compared to the same period of the prior fiscal year, primarily due to a 39% decrease in revenue from Advanced Systems and a 24% decrease in revenue from our Animation product group. The decrease in Animation revenue was primarily due to a 37% decrease in revenue from Autodesk 3ds Max and a 20% decrease in revenue from Maya.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3620" w:type="dxa"/>
            <w:vAlign w:val="bottom"/>
            <w:gridSpan w:val="2"/>
          </w:tcPr>
          <w:p>
            <w:pPr>
              <w:ind w:left="240"/>
              <w:spacing w:after="0"/>
              <w:rPr>
                <w:sz w:val="20"/>
                <w:szCs w:val="20"/>
                <w:color w:val="auto"/>
              </w:rPr>
            </w:pPr>
            <w:r>
              <w:rPr>
                <w:rFonts w:ascii="Arial" w:cs="Arial" w:eastAsia="Arial" w:hAnsi="Arial"/>
                <w:sz w:val="18"/>
                <w:szCs w:val="18"/>
                <w:i w:val="1"/>
                <w:iCs w:val="1"/>
                <w:color w:val="auto"/>
              </w:rPr>
              <w:t>Cost of Revenue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8"/>
              </w:rPr>
              <w:t>Increase (decrease)</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8"/>
              </w:rPr>
              <w:t>Increase (decrease)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2"/>
                <w:szCs w:val="12"/>
                <w:color w:val="auto"/>
              </w:rPr>
            </w:pPr>
          </w:p>
        </w:tc>
        <w:tc>
          <w:tcPr>
            <w:tcW w:w="8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104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Six months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ended</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1"/>
              </w:rPr>
              <w:t>prior period</w:t>
            </w:r>
          </w:p>
        </w:tc>
        <w:tc>
          <w:tcPr>
            <w:tcW w:w="2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ended</w:t>
            </w:r>
          </w:p>
        </w:tc>
        <w:tc>
          <w:tcPr>
            <w:tcW w:w="16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1"/>
              </w:rPr>
              <w:t>prior period</w:t>
            </w: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142"/>
        </w:trPr>
        <w:tc>
          <w:tcPr>
            <w:tcW w:w="362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12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July 31, 2009</w:t>
            </w:r>
          </w:p>
        </w:tc>
        <w:tc>
          <w:tcPr>
            <w:tcW w:w="160" w:type="dxa"/>
            <w:vAlign w:val="bottom"/>
          </w:tcPr>
          <w:p>
            <w:pPr>
              <w:spacing w:after="0"/>
              <w:rPr>
                <w:sz w:val="12"/>
                <w:szCs w:val="12"/>
                <w:color w:val="auto"/>
              </w:rPr>
            </w:pPr>
          </w:p>
        </w:tc>
        <w:tc>
          <w:tcPr>
            <w:tcW w:w="44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12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July 31, 2008</w:t>
            </w: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31, 2009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31, 2008</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ind w:left="440"/>
              <w:spacing w:after="0"/>
              <w:rPr>
                <w:sz w:val="20"/>
                <w:szCs w:val="20"/>
                <w:color w:val="auto"/>
              </w:rPr>
            </w:pPr>
            <w:r>
              <w:rPr>
                <w:rFonts w:ascii="Arial" w:cs="Arial" w:eastAsia="Arial" w:hAnsi="Arial"/>
                <w:sz w:val="18"/>
                <w:szCs w:val="18"/>
                <w:color w:val="auto"/>
              </w:rPr>
              <w:t>License and other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47.1</w:t>
            </w:r>
          </w:p>
        </w:tc>
        <w:tc>
          <w:tcPr>
            <w:tcW w:w="40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(10.5)</w:t>
            </w: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57.6</w:t>
            </w: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96.6</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(17.0)</w:t>
            </w:r>
          </w:p>
        </w:tc>
        <w:tc>
          <w:tcPr>
            <w:tcW w:w="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-15%</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0"/>
              </w:rPr>
              <w:t>-16%</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0"/>
              </w:rPr>
              <w:t>-13%</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50.1</w:t>
            </w:r>
          </w:p>
        </w:tc>
        <w:tc>
          <w:tcPr>
            <w:tcW w:w="40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59.7</w:t>
            </w: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r>
              <w:rPr>
                <w:rFonts w:ascii="Arial" w:cs="Arial" w:eastAsia="Arial" w:hAnsi="Arial"/>
                <w:sz w:val="18"/>
                <w:szCs w:val="18"/>
                <w:u w:val="single" w:color="auto"/>
                <w:color w:val="auto"/>
              </w:rPr>
              <w:t>4</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(15.3)</w:t>
            </w:r>
          </w:p>
        </w:tc>
        <w:tc>
          <w:tcPr>
            <w:tcW w:w="8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r>
              <w:rPr>
                <w:rFonts w:ascii="Arial" w:cs="Arial" w:eastAsia="Arial" w:hAnsi="Arial"/>
                <w:sz w:val="18"/>
                <w:szCs w:val="18"/>
                <w:u w:val="single" w:color="auto"/>
                <w:color w:val="auto"/>
              </w:rPr>
              <w:t>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 percentage of net revenue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80" w:firstLine="456"/>
        <w:spacing w:after="0" w:line="298" w:lineRule="auto"/>
        <w:rPr>
          <w:sz w:val="20"/>
          <w:szCs w:val="20"/>
          <w:color w:val="auto"/>
        </w:rPr>
      </w:pPr>
      <w:r>
        <w:rPr>
          <w:rFonts w:ascii="Arial" w:cs="Arial" w:eastAsia="Arial" w:hAnsi="Arial"/>
          <w:sz w:val="16"/>
          <w:szCs w:val="16"/>
          <w:color w:val="auto"/>
        </w:rPr>
        <w:t>Cost of license and other revenue includes direct material and overhead charges, labor costs of fulfilling service contracts and order fulfillment, including stock-based compensation expense for these employees, amortization of purchased technology, professional services fees and royalties. Direct material and overhead charges include the cost of hardware sold (mainly PC-based workstations for Advanced Systems in the M&amp;E segment), costs associated with transferring our software to electronic media, printing of user manuals and packaging materials and shipping and handling costs.</w:t>
      </w:r>
    </w:p>
    <w:p>
      <w:pPr>
        <w:spacing w:after="0" w:line="11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Cost of license and other revenue decreased 18% and 15% during the three and six months ended July 31, 2009, respectively, as compared to the same periods of the prior fiscal year primarily due to the 48% and 46% respective decreases in license and other revenue. Cost of license and other revenue did not decline as rapidly as the associated net revenue because of increased amortization of purchased intangibles related to fiscal year 2009 acquisitions, costs associated with redundant services as we migrated a portion of our IT systems onto a new platform, and higher costs associated with the implementation of our electronic fulfillment system in the first half of fiscal 2010, as compared to the same period of the prior fiscal year.</w:t>
      </w:r>
    </w:p>
    <w:p>
      <w:pPr>
        <w:spacing w:after="0" w:line="1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Cost of maintenance revenue includes labor costs of fulfilling maintenance contracts, including stock-based compensation expense for these employees and professional services fees. Cost of maintenance revenue increased 43% and 41% during the three and six months ended July 31, 2009, respectively, as compared to the same period of the prior fiscal year due to an increase in product support headcount due to the acquisition of Moldflow Corporation in the second quarter of fiscal 2009. These increases were also due to the 3% and 6% increases in maintenance revenue during the three and six months ended July 31, 2009, respectively.</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Cost of revenue, at least over the near term, is affected by the volume and mix of product sales, fluctuations in consulting costs, amortization of purchased technology, new customer support offerings, royalty rates for licensed technology embedded in our products, and the effect of expensing employee stock-based compensation expense. We expect cost of revenue to decline in absolute dollars during the third quarter of fiscal 2010, as compared to the third quarter of fiscal 2009, with the decrease in net revenue and as we continue to find ways to reduce our operating expenses to align with our financial condition. We expect cost of revenue to increase as a percentage of net revenue during the third quarter of fiscal 2010, as compared to the third quarter of fiscal 2009, as we expect our net revenue to decrease more rapidly than our cost of revenue.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and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Three months</w:t>
            </w:r>
          </w:p>
        </w:tc>
        <w:tc>
          <w:tcPr>
            <w:tcW w:w="140" w:type="dxa"/>
            <w:vAlign w:val="bottom"/>
          </w:tcPr>
          <w:p>
            <w:pPr>
              <w:spacing w:after="0"/>
              <w:rPr>
                <w:sz w:val="14"/>
                <w:szCs w:val="14"/>
                <w:color w:val="auto"/>
              </w:rPr>
            </w:pPr>
          </w:p>
        </w:tc>
        <w:tc>
          <w:tcPr>
            <w:tcW w:w="15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84"/>
              </w:rPr>
              <w:t>Decrease compared</w:t>
            </w:r>
          </w:p>
        </w:tc>
        <w:tc>
          <w:tcPr>
            <w:tcW w:w="140" w:type="dxa"/>
            <w:vAlign w:val="bottom"/>
          </w:tcPr>
          <w:p>
            <w:pPr>
              <w:spacing w:after="0"/>
              <w:rPr>
                <w:sz w:val="14"/>
                <w:szCs w:val="14"/>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Three months</w:t>
            </w: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Six months</w:t>
            </w:r>
          </w:p>
        </w:tc>
        <w:tc>
          <w:tcPr>
            <w:tcW w:w="170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84"/>
              </w:rPr>
              <w:t>Decrease compared</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81"/>
        </w:trPr>
        <w:tc>
          <w:tcPr>
            <w:tcW w:w="3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ended</w:t>
            </w:r>
          </w:p>
        </w:tc>
        <w:tc>
          <w:tcPr>
            <w:tcW w:w="120" w:type="dxa"/>
            <w:vAlign w:val="bottom"/>
          </w:tcPr>
          <w:p>
            <w:pPr>
              <w:spacing w:after="0"/>
              <w:rPr>
                <w:sz w:val="7"/>
                <w:szCs w:val="7"/>
                <w:color w:val="auto"/>
              </w:rPr>
            </w:pPr>
          </w:p>
        </w:tc>
        <w:tc>
          <w:tcPr>
            <w:tcW w:w="10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ended</w:t>
            </w:r>
          </w:p>
        </w:tc>
        <w:tc>
          <w:tcPr>
            <w:tcW w:w="1700" w:type="dxa"/>
            <w:vAlign w:val="bottom"/>
            <w:gridSpan w:val="4"/>
            <w:vMerge w:val="continue"/>
          </w:tcPr>
          <w:p>
            <w:pPr>
              <w:spacing w:after="0"/>
              <w:rPr>
                <w:sz w:val="7"/>
                <w:szCs w:val="7"/>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 prior period</w:t>
            </w: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70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 prior period</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July 31,</w:t>
            </w:r>
          </w:p>
        </w:tc>
        <w:tc>
          <w:tcPr>
            <w:tcW w:w="140" w:type="dxa"/>
            <w:vAlign w:val="bottom"/>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July 31,</w:t>
            </w:r>
          </w:p>
        </w:tc>
        <w:tc>
          <w:tcPr>
            <w:tcW w:w="120" w:type="dxa"/>
            <w:vAlign w:val="bottom"/>
          </w:tcPr>
          <w:p>
            <w:pPr>
              <w:spacing w:after="0"/>
              <w:rPr>
                <w:sz w:val="8"/>
                <w:szCs w:val="8"/>
                <w:color w:val="auto"/>
              </w:rPr>
            </w:pPr>
          </w:p>
        </w:tc>
        <w:tc>
          <w:tcPr>
            <w:tcW w:w="10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July 31,</w:t>
            </w:r>
          </w:p>
        </w:tc>
        <w:tc>
          <w:tcPr>
            <w:tcW w:w="1700" w:type="dxa"/>
            <w:vAlign w:val="bottom"/>
            <w:gridSpan w:val="4"/>
            <w:vMerge w:val="continue"/>
          </w:tcPr>
          <w:p>
            <w:pPr>
              <w:spacing w:after="0"/>
              <w:rPr>
                <w:sz w:val="8"/>
                <w:szCs w:val="8"/>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35"/>
        </w:trPr>
        <w:tc>
          <w:tcPr>
            <w:tcW w:w="3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60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(53.8)</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230.2</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360.3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  (95.4)</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  455.7</w:t>
            </w: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Marketing and sales expenses include salaries, benefits, bonuses and stock-based compensation expense for our marketing and sales employees, costs of programs aimed at increasing revenue, such as advertising, trade shows and expositions, and various sales and promotional programs. Marketing and sales expenses also include travel and facility costs for our marketing, sales, dealer training and administrative support personnel, professional fees and services, rent and occupancy, sales and dealer commissions, cost of supplies and equipment, labor costs of sales order processing, and overhead charges. Certain reclassifications have been made to marketing and sales expense amounts for the first quarter ended April 30, 2009; see Note 1, “Basis of Presentation,” in the Notes to Condensed Consolidated Financial Statements for further discussion.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6"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Marketing and sales expenses decreased 23% and 21% during the three and six months ended July 31, 2009, respectively, as compared to the same periods of the prior fiscal year, primarily due to lower employee related costs, including commissions and bonuses, decreased travel expenditures and reduced advertising and promotional expenses. We expect to balance our need to invest in the marketing and sales of our products with our need to reduce our operating expenses to align with our financial condition, by making fewer and more strategic investments in marketing and sales. As compared to the third quarter of fiscal 2009, we expect marketing and sales expenses to decrease in absolute dollars, and to increase as a percentage of net revenue, as we expect our net revenue to decrease more rapidly than our marketing and sales expense.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Three months</w:t>
            </w:r>
          </w:p>
        </w:tc>
        <w:tc>
          <w:tcPr>
            <w:tcW w:w="170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84"/>
              </w:rPr>
              <w:t>Decrease compared</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Three months</w:t>
            </w:r>
          </w:p>
        </w:tc>
        <w:tc>
          <w:tcPr>
            <w:tcW w:w="14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Six months</w:t>
            </w:r>
          </w:p>
        </w:tc>
        <w:tc>
          <w:tcPr>
            <w:tcW w:w="120" w:type="dxa"/>
            <w:vAlign w:val="bottom"/>
          </w:tcPr>
          <w:p>
            <w:pPr>
              <w:spacing w:after="0"/>
              <w:rPr>
                <w:sz w:val="14"/>
                <w:szCs w:val="14"/>
                <w:color w:val="auto"/>
              </w:rPr>
            </w:pPr>
          </w:p>
        </w:tc>
        <w:tc>
          <w:tcPr>
            <w:tcW w:w="170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4"/>
              </w:rPr>
              <w:t>Decrease compared</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ended</w:t>
            </w:r>
          </w:p>
        </w:tc>
        <w:tc>
          <w:tcPr>
            <w:tcW w:w="17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7"/>
                <w:szCs w:val="7"/>
                <w:color w:val="auto"/>
              </w:rPr>
            </w:pPr>
          </w:p>
        </w:tc>
        <w:tc>
          <w:tcPr>
            <w:tcW w:w="9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2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70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 prior period</w:t>
            </w: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 prior period</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July 31,</w:t>
            </w:r>
          </w:p>
        </w:tc>
        <w:tc>
          <w:tcPr>
            <w:tcW w:w="170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July 31,</w:t>
            </w:r>
          </w:p>
        </w:tc>
        <w:tc>
          <w:tcPr>
            <w:tcW w:w="140" w:type="dxa"/>
            <w:vAlign w:val="bottom"/>
          </w:tcPr>
          <w:p>
            <w:pPr>
              <w:spacing w:after="0"/>
              <w:rPr>
                <w:sz w:val="8"/>
                <w:szCs w:val="8"/>
                <w:color w:val="auto"/>
              </w:rPr>
            </w:pPr>
          </w:p>
        </w:tc>
        <w:tc>
          <w:tcPr>
            <w:tcW w:w="9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July 31,</w:t>
            </w:r>
          </w:p>
        </w:tc>
        <w:tc>
          <w:tcPr>
            <w:tcW w:w="120" w:type="dxa"/>
            <w:vAlign w:val="bottom"/>
          </w:tcPr>
          <w:p>
            <w:pPr>
              <w:spacing w:after="0"/>
              <w:rPr>
                <w:sz w:val="8"/>
                <w:szCs w:val="8"/>
                <w:color w:val="auto"/>
              </w:rPr>
            </w:pPr>
          </w:p>
        </w:tc>
        <w:tc>
          <w:tcPr>
            <w:tcW w:w="1700" w:type="dxa"/>
            <w:vAlign w:val="bottom"/>
            <w:gridSpan w:val="4"/>
            <w:vMerge w:val="continue"/>
          </w:tcPr>
          <w:p>
            <w:pPr>
              <w:spacing w:after="0"/>
              <w:rPr>
                <w:sz w:val="8"/>
                <w:szCs w:val="8"/>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35"/>
        </w:trPr>
        <w:tc>
          <w:tcPr>
            <w:tcW w:w="2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9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3"/>
              </w:rPr>
              <w:t>2009</w:t>
            </w:r>
          </w:p>
        </w:tc>
        <w:tc>
          <w:tcPr>
            <w:tcW w:w="400" w:type="dxa"/>
            <w:vAlign w:val="bottom"/>
          </w:tcPr>
          <w:p>
            <w:pPr>
              <w:spacing w:after="0"/>
              <w:rPr>
                <w:sz w:val="14"/>
                <w:szCs w:val="14"/>
                <w:color w:val="auto"/>
              </w:rPr>
            </w:pPr>
          </w:p>
        </w:tc>
        <w:tc>
          <w:tcPr>
            <w:tcW w:w="60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  (45.0)</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154.8</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231.4</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(69.0)</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  300.4</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Research and development expenses, which are expensed as incurred, consist primarily of salaries, benefits, bonuses and stock-based compensation expense for research and development employees, rent and occupancy, professional services such as fees paid to software development firms and independent contractors, expense of traveling, entertainment and training and other overhead charges. Certain reclassifications have been made to research and development expense amounts for the first quarter ended April 30, 2009; see Note 1, “Basis of Presentation,” in the Notes to Condensed Consolidated Financial Statements for further discussion.</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Research and development expenses decreased 29% and 23% during the three and six months ended July 31, 2009, respectively, as compared to the same periods of the prior fiscal year, primarily due to decreases in employee related costs driven by decreased research and development headcount and lower bonus expense. Also contributing to the decrease was a decrease in in-process research and development expense from the three and six months ended July 31, 2008. As compared to the third quarter of fiscal 2009, we expect research and development expenses to decrease in absolute dollars, as we continue to find ways to reduce our operating expenses to align with our financial condition, and to increase as a percentage of net revenue, as we expect our net revenue to decrease more rapidly than our research and development expense.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Three months</w:t>
            </w:r>
          </w:p>
        </w:tc>
        <w:tc>
          <w:tcPr>
            <w:tcW w:w="140" w:type="dxa"/>
            <w:vAlign w:val="bottom"/>
          </w:tcPr>
          <w:p>
            <w:pPr>
              <w:spacing w:after="0"/>
              <w:rPr>
                <w:sz w:val="14"/>
                <w:szCs w:val="14"/>
                <w:color w:val="auto"/>
              </w:rPr>
            </w:pPr>
          </w:p>
        </w:tc>
        <w:tc>
          <w:tcPr>
            <w:tcW w:w="166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4"/>
              </w:rPr>
              <w:t>Decrease compared</w:t>
            </w: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Three months</w:t>
            </w: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Six months</w:t>
            </w:r>
          </w:p>
        </w:tc>
        <w:tc>
          <w:tcPr>
            <w:tcW w:w="166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w w:val="88"/>
              </w:rPr>
              <w:t>Decrease compared</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7"/>
                <w:szCs w:val="7"/>
                <w:color w:val="auto"/>
              </w:rPr>
            </w:pPr>
          </w:p>
        </w:tc>
        <w:tc>
          <w:tcPr>
            <w:tcW w:w="166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ended</w:t>
            </w:r>
          </w:p>
        </w:tc>
        <w:tc>
          <w:tcPr>
            <w:tcW w:w="120" w:type="dxa"/>
            <w:vAlign w:val="bottom"/>
          </w:tcPr>
          <w:p>
            <w:pPr>
              <w:spacing w:after="0"/>
              <w:rPr>
                <w:sz w:val="7"/>
                <w:szCs w:val="7"/>
                <w:color w:val="auto"/>
              </w:rPr>
            </w:pPr>
          </w:p>
        </w:tc>
        <w:tc>
          <w:tcPr>
            <w:tcW w:w="10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ended</w:t>
            </w:r>
          </w:p>
        </w:tc>
        <w:tc>
          <w:tcPr>
            <w:tcW w:w="1660" w:type="dxa"/>
            <w:vAlign w:val="bottom"/>
            <w:gridSpan w:val="6"/>
            <w:vMerge w:val="continue"/>
          </w:tcPr>
          <w:p>
            <w:pPr>
              <w:spacing w:after="0"/>
              <w:rPr>
                <w:sz w:val="7"/>
                <w:szCs w:val="7"/>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66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 prior period</w:t>
            </w: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87"/>
              </w:rPr>
              <w:t>to prior period</w:t>
            </w: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July 31,</w:t>
            </w:r>
          </w:p>
        </w:tc>
        <w:tc>
          <w:tcPr>
            <w:tcW w:w="140" w:type="dxa"/>
            <w:vAlign w:val="bottom"/>
          </w:tcPr>
          <w:p>
            <w:pPr>
              <w:spacing w:after="0"/>
              <w:rPr>
                <w:sz w:val="8"/>
                <w:szCs w:val="8"/>
                <w:color w:val="auto"/>
              </w:rPr>
            </w:pPr>
          </w:p>
        </w:tc>
        <w:tc>
          <w:tcPr>
            <w:tcW w:w="16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July 31,</w:t>
            </w:r>
          </w:p>
        </w:tc>
        <w:tc>
          <w:tcPr>
            <w:tcW w:w="120" w:type="dxa"/>
            <w:vAlign w:val="bottom"/>
          </w:tcPr>
          <w:p>
            <w:pPr>
              <w:spacing w:after="0"/>
              <w:rPr>
                <w:sz w:val="8"/>
                <w:szCs w:val="8"/>
                <w:color w:val="auto"/>
              </w:rPr>
            </w:pPr>
          </w:p>
        </w:tc>
        <w:tc>
          <w:tcPr>
            <w:tcW w:w="10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July 31,</w:t>
            </w:r>
          </w:p>
        </w:tc>
        <w:tc>
          <w:tcPr>
            <w:tcW w:w="16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35"/>
        </w:trPr>
        <w:tc>
          <w:tcPr>
            <w:tcW w:w="3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7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3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(6.5)</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99.5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  105.8</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General and administrative expenses include salaries, benefits, bonuses and stock-based compensation expense for our finance, human resources and legal personnel, as well as amortization expense of customer relationships and trademarks acquired, professional fees for legal and accounting services, expense of communication, and cost of supplies and equipment. Certain reclassifications have been made to general and administrative expense amounts for the first quarter ended April 30, 2009; see Note 1, “Basis of Presentation,” in the Notes to Condensed Consolidated Financial Statements for further discussion.</w:t>
      </w:r>
    </w:p>
    <w:p>
      <w:pPr>
        <w:spacing w:after="0" w:line="11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and administrative expenses decreased 12% and 6% during the three and six months ended July 31, 2009, respectively, as compared to the same period of the prior fiscal year, primarily due to decreases in employee related costs due to decreased general and administrative headcount. As compared to the third quarter of fiscal 2009, we expect that general and administrative expenses will decrease in absolute dollars, as we continue to find ways to reduce our operating expenses to align with our financial condition, and to increase as a percentage of net revenue, as we expect our net revenue to decrease more rapidly than our general and administrative expenses.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Charges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2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6"/>
              </w:rPr>
              <w:t>Three months</w:t>
            </w:r>
          </w:p>
        </w:tc>
        <w:tc>
          <w:tcPr>
            <w:tcW w:w="100" w:type="dxa"/>
            <w:vAlign w:val="bottom"/>
          </w:tcPr>
          <w:p>
            <w:pPr>
              <w:spacing w:after="0"/>
              <w:rPr>
                <w:sz w:val="14"/>
                <w:szCs w:val="14"/>
                <w:color w:val="auto"/>
              </w:rPr>
            </w:pPr>
          </w:p>
        </w:tc>
        <w:tc>
          <w:tcPr>
            <w:tcW w:w="1200" w:type="dxa"/>
            <w:vAlign w:val="bottom"/>
            <w:gridSpan w:val="4"/>
            <w:vMerge w:val="restart"/>
          </w:tcPr>
          <w:p>
            <w:pPr>
              <w:jc w:val="center"/>
              <w:ind w:right="22"/>
              <w:spacing w:after="0"/>
              <w:rPr>
                <w:sz w:val="20"/>
                <w:szCs w:val="20"/>
                <w:color w:val="auto"/>
              </w:rPr>
            </w:pPr>
            <w:r>
              <w:rPr>
                <w:rFonts w:ascii="Arial" w:cs="Arial" w:eastAsia="Arial" w:hAnsi="Arial"/>
                <w:sz w:val="14"/>
                <w:szCs w:val="14"/>
                <w:b w:val="1"/>
                <w:bCs w:val="1"/>
                <w:color w:val="auto"/>
                <w:w w:val="86"/>
              </w:rPr>
              <w:t>Increase compared</w:t>
            </w:r>
          </w:p>
        </w:tc>
        <w:tc>
          <w:tcPr>
            <w:tcW w:w="28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Three months</w:t>
            </w:r>
          </w:p>
        </w:tc>
        <w:tc>
          <w:tcPr>
            <w:tcW w:w="16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Six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84"/>
              </w:rPr>
              <w:t>Increase compared</w:t>
            </w: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ended</w:t>
            </w:r>
          </w:p>
        </w:tc>
        <w:tc>
          <w:tcPr>
            <w:tcW w:w="10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3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3"/>
            <w:vMerge w:val="restart"/>
          </w:tcPr>
          <w:p>
            <w:pPr>
              <w:jc w:val="center"/>
              <w:ind w:left="27"/>
              <w:spacing w:after="0"/>
              <w:rPr>
                <w:sz w:val="20"/>
                <w:szCs w:val="20"/>
                <w:color w:val="auto"/>
              </w:rPr>
            </w:pPr>
            <w:r>
              <w:rPr>
                <w:rFonts w:ascii="Arial" w:cs="Arial" w:eastAsia="Arial" w:hAnsi="Arial"/>
                <w:sz w:val="14"/>
                <w:szCs w:val="14"/>
                <w:b w:val="1"/>
                <w:bCs w:val="1"/>
                <w:color w:val="auto"/>
                <w:w w:val="89"/>
              </w:rPr>
              <w:t>to prior period</w:t>
            </w: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3"/>
            <w:vMerge w:val="restart"/>
          </w:tcPr>
          <w:p>
            <w:pPr>
              <w:jc w:val="center"/>
              <w:ind w:left="47"/>
              <w:spacing w:after="0"/>
              <w:rPr>
                <w:sz w:val="20"/>
                <w:szCs w:val="20"/>
                <w:color w:val="auto"/>
              </w:rPr>
            </w:pPr>
            <w:r>
              <w:rPr>
                <w:rFonts w:ascii="Arial" w:cs="Arial" w:eastAsia="Arial" w:hAnsi="Arial"/>
                <w:sz w:val="14"/>
                <w:szCs w:val="14"/>
                <w:b w:val="1"/>
                <w:bCs w:val="1"/>
                <w:color w:val="auto"/>
                <w:w w:val="87"/>
              </w:rPr>
              <w:t>to prior period</w:t>
            </w: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July 31,</w:t>
            </w: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July 31,</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July 31,</w:t>
            </w: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35"/>
        </w:trPr>
        <w:tc>
          <w:tcPr>
            <w:tcW w:w="3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7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the fourth quarter of fiscal 2009, we initiated a restructuring program in order to reduce our operating costs. This program has reduced the number of employees by a total of approximately 700 positions globally and will result in the consolidation of up to 27 leased facilities.</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the second quarter of fiscal 2010, we initiated an additional restructuring program, which will result in a headcount reduction of approximately 430 positions globally and the consolidation of up to 32 leased facilities around the world in order to reduce our operating expenses. The restructuring program, and resulting staff reductions and facilities consolidations, initiated during the quarter ended July 31, 2009 is in addition to that initiated in the fourth quarter of fiscal 2009.</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these restructuring plans, we recorded restructuring and impairment charges of $26.4 million and $42.9 million during the three and six months ended July 31, 2009, respectively. Of these amounts, $15.5 million and $19.4 million was recorded for one-time employee termination benefits during the three and six months ended July 31, 2009, respectively, and $10.9 million and $23.5 million was recorded for facilities-related costs during the three and six months ended July 31, 2009, respectively. The remainder of the termination benefits will substantially be paid during the third quarter of fiscal 2010. We expect to pay the facility related liabilities through fiscal 2018. If our revenue should continue to decline significantly, we may further reduce our operating expenses to align them with our financial condition, including the possibility of a further restructuring. In taking these actions, we may incur additional costs which could negatively impact our net income and cash flows from operating activities. See Note 8, “Restructuring Reserve,” in the Notes to Condensed Consolidated Financial Statements for further discussion.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Goodwill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Three months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vMerge w:val="restart"/>
          </w:tcPr>
          <w:p>
            <w:pPr>
              <w:jc w:val="center"/>
              <w:ind w:right="2"/>
              <w:spacing w:after="0"/>
              <w:rPr>
                <w:sz w:val="20"/>
                <w:szCs w:val="20"/>
                <w:color w:val="auto"/>
              </w:rPr>
            </w:pPr>
            <w:r>
              <w:rPr>
                <w:rFonts w:ascii="Arial" w:cs="Arial" w:eastAsia="Arial" w:hAnsi="Arial"/>
                <w:sz w:val="14"/>
                <w:szCs w:val="14"/>
                <w:b w:val="1"/>
                <w:bCs w:val="1"/>
                <w:color w:val="auto"/>
                <w:w w:val="84"/>
              </w:rPr>
              <w:t>Increase compared</w:t>
            </w:r>
          </w:p>
        </w:tc>
        <w:tc>
          <w:tcPr>
            <w:tcW w:w="28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Three months</w:t>
            </w:r>
          </w:p>
        </w:tc>
        <w:tc>
          <w:tcPr>
            <w:tcW w:w="16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Six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84"/>
              </w:rPr>
              <w:t>Increase compared</w:t>
            </w: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81"/>
        </w:trPr>
        <w:tc>
          <w:tcPr>
            <w:tcW w:w="2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29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3"/>
            <w:vMerge w:val="restart"/>
          </w:tcPr>
          <w:p>
            <w:pPr>
              <w:jc w:val="center"/>
              <w:ind w:left="47"/>
              <w:spacing w:after="0"/>
              <w:rPr>
                <w:sz w:val="20"/>
                <w:szCs w:val="20"/>
                <w:color w:val="auto"/>
              </w:rPr>
            </w:pPr>
            <w:r>
              <w:rPr>
                <w:rFonts w:ascii="Arial" w:cs="Arial" w:eastAsia="Arial" w:hAnsi="Arial"/>
                <w:sz w:val="14"/>
                <w:szCs w:val="14"/>
                <w:b w:val="1"/>
                <w:bCs w:val="1"/>
                <w:color w:val="auto"/>
                <w:w w:val="87"/>
              </w:rPr>
              <w:t>to prior period</w:t>
            </w: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3"/>
            <w:vMerge w:val="restart"/>
          </w:tcPr>
          <w:p>
            <w:pPr>
              <w:jc w:val="center"/>
              <w:ind w:left="47"/>
              <w:spacing w:after="0"/>
              <w:rPr>
                <w:sz w:val="20"/>
                <w:szCs w:val="20"/>
                <w:color w:val="auto"/>
              </w:rPr>
            </w:pPr>
            <w:r>
              <w:rPr>
                <w:rFonts w:ascii="Arial" w:cs="Arial" w:eastAsia="Arial" w:hAnsi="Arial"/>
                <w:sz w:val="14"/>
                <w:szCs w:val="14"/>
                <w:b w:val="1"/>
                <w:bCs w:val="1"/>
                <w:color w:val="auto"/>
                <w:w w:val="87"/>
              </w:rPr>
              <w:t>to prior period</w:t>
            </w: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July 31,</w:t>
            </w: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July 31,</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July 31,</w:t>
            </w: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35"/>
        </w:trPr>
        <w:tc>
          <w:tcPr>
            <w:tcW w:w="29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9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71"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 xml:space="preserve">We recorded an impairment charge of $21.0 million affecting the first quarter of fiscal 2010 representing the entire goodwill balance of the M&amp;E segment as of April 30, 2009. This goodwill balance related to the M&amp;E segment’s fourth quarter fiscal 2009 acquisition of substantially all of the assets of Softimage. In May 2009, we concluded that an impairment of goodwill had occurred as of April 30, 2009 due to revisions to our revenue and cash flow projections prepared in the second half of the first quarter of fiscal 2010 in response to the significant and sustained revenue declines we were experiencing in all segments and geographies in the first quarter of fiscal 2010. The revenue and cash flow projections were substantially impacted for all segments, and the M&amp;E segment was the only segment which had a current fair value of its future discounted cash flows that fell below the carrying value of its assets. Should our revenue and cash flow projections decline significantly in the future, additional impairment charges may be recorded on goodwill. See Note 12, “Goodwill,” in the Notes to Condensed Consolidated Financial Statements and “Critical Accounting Policies and Estimates – </w:t>
      </w:r>
      <w:r>
        <w:rPr>
          <w:rFonts w:ascii="Arial" w:cs="Arial" w:eastAsia="Arial" w:hAnsi="Arial"/>
          <w:sz w:val="15"/>
          <w:szCs w:val="15"/>
          <w:i w:val="1"/>
          <w:iCs w:val="1"/>
          <w:color w:val="auto"/>
        </w:rPr>
        <w:t>Goodwill</w:t>
      </w:r>
      <w:r>
        <w:rPr>
          <w:rFonts w:ascii="Arial" w:cs="Arial" w:eastAsia="Arial" w:hAnsi="Arial"/>
          <w:sz w:val="15"/>
          <w:szCs w:val="15"/>
          <w:color w:val="auto"/>
        </w:rPr>
        <w:t>” above for further discussion. As of July 31, 2009, a hypothetical 10% decrease in the fair value of our reporting units would not have an impact on the carrying value of goodwill nor result in additional impairment of goodwill.</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interest and other income, net: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Six months</w:t>
            </w:r>
          </w:p>
        </w:tc>
      </w:tr>
      <w:tr>
        <w:trPr>
          <w:trHeight w:val="149"/>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left="181"/>
              <w:spacing w:after="0" w:line="149" w:lineRule="exact"/>
              <w:rPr>
                <w:sz w:val="20"/>
                <w:szCs w:val="20"/>
                <w:color w:val="auto"/>
              </w:rPr>
            </w:pPr>
            <w:r>
              <w:rPr>
                <w:rFonts w:ascii="Arial" w:cs="Arial" w:eastAsia="Arial" w:hAnsi="Arial"/>
                <w:sz w:val="14"/>
                <w:szCs w:val="14"/>
                <w:b w:val="1"/>
                <w:bCs w:val="1"/>
                <w:color w:val="auto"/>
                <w:w w:val="82"/>
              </w:rPr>
              <w:t>ended</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6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July 31,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July 31,</w:t>
            </w:r>
          </w:p>
        </w:tc>
      </w:tr>
      <w:tr>
        <w:trPr>
          <w:trHeight w:val="142"/>
        </w:trPr>
        <w:tc>
          <w:tcPr>
            <w:tcW w:w="802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 net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$ 3.6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Gain on foreign currency transactions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22"/>
        </w:trPr>
        <w:tc>
          <w:tcPr>
            <w:tcW w:w="802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10.7</w:t>
            </w: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4"/>
              </w:rPr>
              <w:t>$ 6.3</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10.7</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w:t>
            </w: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and investment income, net fluctuates based on average cash and marketable securities balances, average maturities and interest rates. The increase in interest and other income, net, during the three months ended July 31, 2009, as compared to the same period in the prior fiscal year, is primarily due to a gain on the sale of an investment, gains on foreign currency transactions and gains on marketable securities. The decrease in interest and other income, net, during the six months ended July 31, 2009, as compared to the same period in the prior fiscal year, is primarily due to lower interest rate yields partially offset by the gains recorded on the sale of an investment, gains on foreign currency transactions and gains on marketable securities.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effective tax rate was 22% during the three months ended July 31, 2009 and negative 256% during the six months ended July 31, 2009,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28% and 27% in the respective periods of the prior fiscal year. Our effective tax rate decreased 6% during the three months ended July 31, 2009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same period in the prior fiscal year primarily due to non-deductible in-process research and development costs recorded during the second quarter of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Our effective tax rate decreased 283% during the six months ended July 31, 2009 as compared to the same period in the prior fiscal year as a result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$20.9 million discrete non-cash tax charge from recording a valuation allowance against California deferred tax assets partially offset by a discrete tax benefit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 million associated with the impairment of goodwill recorded during the first quarter of fiscal 2010, and the tax impact of non-deductible in-process research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development expense recorded during the second quarter of fiscal 2009. Excluding the impact of discrete tax items, the effective tax rates for the three and six</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month periods ended July 31, 2009 are lower than the Federal statutory tax rate of 35% primarily due to foreign income taxed at lower rates and Federal and state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research tax credits partially offset by the impact of Statement of Financial Accounting Standards (“SFAS”) 123R, “Share-based Payment” (“SFAS 123R”).</w:t>
      </w:r>
    </w:p>
    <w:p>
      <w:pPr>
        <w:spacing w:after="0" w:line="188"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During the first quarter of fiscal 2010, the State of California enacted significant California tax law changes. As a result of the enacted legislation, we expect that in fiscal years 2012 and beyond, our income subject to tax in California will be less than under prior tax law and accordingly our California deferred tax assets are less likely to be realized. During the first quarter of fiscal 2010 we recorded a net discrete tax charge of $20.9 million related to the re-measurement of our California deferred tax assets to account for this change in tax law, as well as an increase in the valuation allowance for our California deferred tax assets that existed as of January 31, 2009. We will continue to assess the valuation allowance on our California deferred tax assets in future periods.</w:t>
      </w:r>
    </w:p>
    <w:p>
      <w:pPr>
        <w:spacing w:after="0" w:line="10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future effective tax rate may be materially impacted by the amount of benefits and charges from tax amounts associated with our foreign earnings that are taxed at rates different from the Federal statutory rate, research credits, state income taxes, SFAS 123R, Financial Accounting Standards Board (“FASB”) Interpretation No. 48, “Accounting for Uncertainty in Income Taxes-an interpretation of FASB Statement No. 109” (“FIN 48”)”, SFAS 141R, “Business Combinations”, the U.S. Manufacturer’s deduction, closure of statute of limitations or settlement of tax audits, changes in valuation allowances and changes in tax law.</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amount of unrecognized tax benefits was determined in accordance with FIN 48. As of July 31, 2009, the Company had $188.8 million of gross unrecognized tax benefits, excluding interest, of which approximately $178.0 million represents the amount of unrecognized tax benefits that would impact the effective tax rate, if recognized. The remaining $10.8 million relates to items that would result in balance sheet reclassification only, with no impact to income tax expense. It is possible that the amount of unrecognized tax benefits will change in the next twelve months; however an estimate of the range of the possible change cannot be made at this time.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July 31, 2009, we had net deferred tax assets of $141.0 million. We believe that we will generate sufficient future taxable income in appropriate tax jurisdictions to realize these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At July 31, 2009, our principal sources of liquidity were cash, cash equivalents and marketable securities totaling $1,028.7 million and net accounts receivable of $223.9 million. In addition, we have a U.S. line of credit facility that permits unsecured short-term borrowings of up to $250.0 million and a China line of credit that permits unsecured short-term borrowings of up to $5.0 million. These line of credit agreements contain customary covenants that could restrict the imposition of liens on our assets, and restrict our ability to incur additional indebtedness or make dispositions of assets if we fail to maintain their financial covenants. These credit facilities are available for working capital and other business needs. At July 31, 2009, we had no borrowings outstanding on the U.S. or China line of credit. The U.S. facility expires in August 2012, and the China facility has no contractual expiration.</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Citibank and its global affiliates (“Citibank”). In addition, Citicorp USA, Inc., an affiliate of Citibank, is the lead lender and agent in the syndicate of our $250.0 million U.S. line of credit.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increase in our cash, cash equivalents and marketable securities from $988.7 million at January 31, 2009 to $1,028.7 million at July 31, 2009 is principally the result of cash generated from operations and the proceeds from the issuance of common stock. These increases to cash, cash equivalents and marketable securities were partially offset by cash used for the repayment of our U.S. line of credit, capital expenditures and an equity investment. Cash generated from operations was negatively impacted by lower net revenue, and the payment of employee-related restructuring charges.</w:t>
      </w:r>
    </w:p>
    <w:p>
      <w:pPr>
        <w:spacing w:after="0" w:line="11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At July 31, 2009, our short-term investment portfolio had an estimated fair value of $267.9 million and a cost basis of $277.6 million. The portfolio fair value consisted of $95.8 million invested in commercial paper and corporate securities, $47.2 million invested in certificates of deposit and time deposits with original maturities greater than 90 days and less than one year, $44.0 million invested in U.S. treasury securities, $33.0 million invested in U.S. government agency securities, $25.9 million invested in mutual funds, $18.0 million invested in money market funds, and $4.0 million invested in municipal securities and available-for-sale equity securities.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July 31, 2009, we had investments in two money market funds with cost basis of $22.5 million and an estimated fair value of $18.0 million, of which $17.0 million was invested in The Reserve International Liquidity Fund (the “International Fund”) and $1.0 million was invested in The Reserve Primary Fund (the “Primary Fund,” and together with the International Fund, the “Reserve Funds”). During the third quarter of fiscal 2009, the Reserve Funds ceased redemptions after net asset values of the funds decreased below $1 per share. This occurred as a result of the Reserve Funds revaluing their holdings of debt securities issued by Lehman Brothers, which filed for Chapter 11 bankruptcy on September 15, 2008, and the resulting unusually high redemption requests on the Reserve Funds. Our investments in the Reserve Funds are unrelated to the assets of our Deferred Compensation Plan.</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SEC is overseeing the administration, accounting and payout of the U.S.-based Primary Fund, and a third party court appointed supervisor is overseeing, but not managing, the accounting and payment administration of the non U.S.-based International Fund. At this time, these investments are not currently liquid, and in the event we need to access these funds, we will not be able to do so. However, based on currently available information, we expect to recover substantially all of our current holdings, net of reserves, from the Reserve Funds within the next 12 months. Accordingly, the Reserve Funds are classified in current “Marketable Securities” in the Condensed Consolidated Balance Sheets.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July 31, 2009, we owned two auction rate securities with an estimated fair value of $7.6 million and a cost basis of $9.0 million. Our auction rate securities are variable rate debt instruments that have underlying securities with contractual maturities greater than ten years and interest rates that were structured to reset at auction every 28 days. The securities, which met our investment guidelines at the time the investments were made, have failed to settle in auctions since August 2007 and have earned a premium interest rate since that time. While we expect to recover substantially all of our current holdings, net of reserves, in the auction rate securities, we cannot predict when this will occur or the amount we will receive. Due to the lack of liquidity of these investments, they are included in non-current “Marketable securities” in the Condensed Consolidated Balance Sheets. See Note 4, “Financial Instruments and Hedging Activities,” for further discussion of our financial instruments.</w:t>
      </w:r>
    </w:p>
    <w:p>
      <w:pPr>
        <w:spacing w:after="0" w:line="118"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At July 31, 2009, $25.9 million of trading securities were invested in a defined set of mutual funds as directed by the participants in our Deferred Compensation Plan (see Note 9, “Deferred Compensation” in the Notes to Condensed Consolidated Financial Statements for further discussion).</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cash provided by operating activities of $74.5 million for the six months ended July 31, 2009 primarily comprised of net loss and the offsetting effect of non-cash expenses associated with depreciation and amortization, stock-based compensation, restructuring charges, impairment of goodwill, and establishment of a valuation allowance for deferred tax assets. The primary working capital source of cash was a decrease in accounts receivable. The decrease in accounts receivable relates primarily to the decrease in our revenues and seasonality in our maintenance contract renewals. A larger portion of our install base renews their maintenance contracts in the fourth quarter and this drives higher cash collections of accounts receivable in the first half of the fiscal year. Our days sales outstanding in trade receivables was 49 days at July 31, 2009. The primary working capital uses of cash were for reductions of accrued expenses primarily related to our fiscal 2009 employee bonus accrual and fourth quarter fiscal 2009 commissions, and payment of restructuring-related costs.</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of July 31, 2009,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2009. Long-term cash requirements for items other than normal operating expenses are anticipated for the following: the acquisition of businesses, software products, or technologies complementary to our business; capital expenditures, including the purchase and implementation of internal-use software applications; stock repurchases; and funding restructuring costs. In addition, $25.9 million of our marketable securities are held in a rabbi trust under non-qualified deferred compensation plans at July 31, 2009. See Note 4, “Financial Instruments and Hedging Activities,” and Note 9, “Deferred Compensation,” in the Notes to Condensed Consolidated Financial Statements for further discussion.</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existing cash, cash equivalents and investment balances may decline in fiscal 2010 in the event of a further weakening of the economy or changes in our planned cash outlay. 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the next 12 months. Our existing U.S. credit facility is currently $250.0 million of which we have no amounts outstanding. This credit facility is available for working capital and other business needs.</w:t>
      </w:r>
    </w:p>
    <w:p>
      <w:pPr>
        <w:spacing w:after="0" w:line="14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revenue, earnings and cash flows are subject to fluctuations due to changes in foreign currency exchange rates. Our risk management strategy utilizes two types of derivative instruments, option collar and forward contracts, to hedge a majority of our foreign currency transaction exposures that exist as part of our ongoing business operations. Prior to the third quarter of fiscal 2009, such contracts did not extend beyond the current quarter; however, beginning in the third quarter of fiscal 2009, we entered into longer-term hedging contracts. We have expanded our foreign currency cash flow hedge program beyond one quarter, and as of July 31, 2009, have open contracts to hedge expected cash flows for one to 12 months in the future in order to reduce foreign currency volatility. Contracts are primarily denominated in euros, Japanese yen, Swiss francs, British pounds and Canadian dollars. We do not enter into any derivative instruments for trading or speculative purposes. The notional amount of our option and forward contracts was $136.2 million and $276.7 million at July 31, 2009 and January 31, 2009,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purpose of Autodesk’s stock repurchase program is to help offset the dilution to net income per share caused by the issuance of stock under our employee stock plans and has the effect of returning excess cash generated from our business to stockholders. The number of shares acquired and the timing of the purchases are based on several factors, including anticipated employee stock purchases during the period, the level of our cash balances, general business and market conditions, the market price of our stock, cash on hand and available in the U.S., company defined trading windows and other investment opportunities. There were no repurchases of our common stock during the three and six months ended July 31, 2009. At July 31, 2009, 16.1 million shares remained available for repurchase under the existing repurchase authorization. This program does not have a fixed expiration date. See Note 15, “Stock Repurchase Program,” in the Notes to Condensed Consolidated Financial Statements for further discussion.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Other than operating leases, we do not engage in off-balance sheet financing arrangements or have any variable-interest entities. As of July 31, 2009, we did not have any off-balance sheet arrangements as defined in Item 303(a)(4)(ii) of SEC Regulation S-K.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recent global financial crisis affecting the banking system and financial markets and other financial institutions have continued to cause a negative effect in the credit markets, a low level of liquidity in many financial markets, and extreme volatility in many financial instrument markets. Global economic conditions deteriorated during the quarter ended July 31, 2009. This led to our customers deferring purchases in response to tighter credit, negative financial news and weaker financial performance of their businesses. These factors have negatively impacted our business.</w:t>
      </w:r>
    </w:p>
    <w:p>
      <w:pPr>
        <w:spacing w:after="0" w:line="11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Citibank and its global affiliates (“Citibank”). In addition, Citicorp USA, Inc., an affiliate of Citibank, is the lead lender and agent in the syndicate of our $250.0 million U.S. line of credit.</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utilize foreign currency option collar and forward contracts to reduce the exchange rate impact on the net revenue and operating expenses of certain anticipated transactions. A sensitivity analysis performed on our hedging portfolio as of July 31, 2009 indicated that a hypothetical 10% appreciation of the U.S. dollar from its value at July 31, 2009 would increase the fair value of our forward exchange and option contracts by $10.9 million. A hypothetical 10% depreciation of the dollar from its value at July 31, 2009 would decrease the fair value of our forward exchange and option contracts by $13.1 million. We do not anticipate any material adverse impact to our consolidated financial position, results of operations or cash flows as a result of these foreign currency forward and option contracts.</w:t>
      </w:r>
    </w:p>
    <w:p>
      <w:pPr>
        <w:spacing w:after="0" w:line="144"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to a lesser extent, the market value of certain longer term securities. At July 31, 2009 we had $832.1 million of cash equivalents and marketable securities. With an average investment balance for the quarter of approximately $770.8 million, if interest rates were to increase (decrease) by 10%, this would result in a $0.4 million increase (decrease) in annual interest income. Further, at July 31, 2009, we had approximately $100.0 million invested in a longer term portfolio which, with 50 and 100 basis point moves, would result in market value changes (gains or losses) of $0.8 million and $1.6 million, respectively, over both six and 12 month periods. We do not use derivative financial instruments in our investment portfolio to manage interest rate risk.</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July 31, 2009 that have materially affected, or are reasonably likely to materially affect, our internal controls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Information with respect to this Item may be found in Note 14, “Commitments and Contingencies,” of the Notes to Condensed Consolidated Financial Statements in this Form 10-Q, which information is incorporated into this Item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operate in a rapidly changing environment that involves a number of risks, many of which are beyond our control. In addition to the other information contained in this Form 10-Q, the following discussion highlights some of these risks and the possible impact of these factors on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global economic conditions continue to deteriorate or do not improve, our financial results may be additionally harmed.</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our business has expanded globally, we have increasingly become subject to the risks arising from adverse changes in domestic and global economic and political conditions. Global economic conditions have deteriorated over the past several quarters. This has led to our customers deferring, reducing or cancelling purchases in response to tighter credit, negative financial news and weaker financial performance of their businesses. These factors have negatively impacted our business and our financial results.</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global economic conditions continue to deteriorate, or our customers continue to struggle under these pressures, many of our customers may further delay, reduce or cancel their technology purchases. This could result in further reductions in sales of our products, longer sales cycles, slower adoption of new technologies and increased price competition.</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addition, continued weakness in the end-user market could further negatively affect the cash flow of our distributors and resellers who could, in turn, delay paying their obligations to us. This would in turn increase our credit risk exposure and cause delays in our recognition of revenue on future sales to these customers.</w:t>
      </w:r>
    </w:p>
    <w:p>
      <w:pPr>
        <w:spacing w:after="0" w:line="14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These actions have negatively impacted and may continue to negatively impact our business, financial results and financial condition. In addition, the negative effect these factors have had on our cash flows has caused us to restructure our business and in turn incur restructuring charges as well as take impairment charges on some of our long-term assets, and may cause us to take additional charges in the future.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recent global credit and banking crisis may further negatively affect our business, results of operations, and financial condition.</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recent global financial crisis affecting the banking system and financial markets and other financial institutions have resulted in a tightening in the credit markets, a low level of liquidity in many financial markets, and extreme volatility in many financial instrument markets. Our business has been impacted by these events and may be further impacted from this global credit and banking crisis by: the insolvency of key channel partners impairing our distribution channels; counterparty failures negatively impacting our treasury functions, including timely access to our cash reserves; and increased expense or inability to obtain short-term financing if banks providing our line of credit are unable to lend us money when it is needed for our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i w:val="1"/>
          <w:iCs w:val="1"/>
          <w:color w:val="auto"/>
        </w:rPr>
        <w:t>A significant portion of our revenue is generated through maintenance revenue; any decrease in maintenance attach or renewal rates, or a decrease in the number of new seats we sell would negatively impact our future revenue and operating results.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If our customers do not attach maintenance to their initial license or renew their maintenance contract for our products, then our maintenance revenue will decline, and our business will suffer. 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growth in billings for maintenance contracts began to slow in the second quarter of fiscal 2009, and maintenance billings declined year over year in both the first quarter and first half of fiscal 2010. The change in maintenance billings is an indicator of future maintenance revenue because we recognize the revenue ratably over the life of the maintenance contracts, which is predominantly one year. Consequently, we expect that this decline will continue to have a negative impact on our revenue in future periods as revenue from our maintenance contracts is recognized over time.</w:t>
      </w:r>
    </w:p>
    <w:p>
      <w:pPr>
        <w:spacing w:after="0" w:line="194" w:lineRule="exact"/>
        <w:rPr>
          <w:sz w:val="20"/>
          <w:szCs w:val="20"/>
          <w:color w:val="auto"/>
        </w:rPr>
      </w:pPr>
    </w:p>
    <w:p>
      <w:pPr>
        <w:jc w:val="both"/>
        <w:ind w:left="240" w:right="340"/>
        <w:spacing w:after="0" w:line="259" w:lineRule="auto"/>
        <w:rPr>
          <w:sz w:val="20"/>
          <w:szCs w:val="20"/>
          <w:color w:val="auto"/>
        </w:rPr>
      </w:pPr>
      <w:r>
        <w:rPr>
          <w:rFonts w:ascii="Arial" w:cs="Arial" w:eastAsia="Arial" w:hAnsi="Arial"/>
          <w:sz w:val="18"/>
          <w:szCs w:val="18"/>
          <w:i w:val="1"/>
          <w:iCs w:val="1"/>
          <w:color w:val="auto"/>
        </w:rPr>
        <w:t>If we do not maintain our relationships with the members of our distribution channel, or achieve anticipated levels of sell-through, our ability to generate revenue will be adversely affected. If our distribution channel suffers financial losses or becomes financially unstable or insolvent, our ability to generate revenue will be adversely affected.</w:t>
      </w:r>
    </w:p>
    <w:p>
      <w:pPr>
        <w:spacing w:after="0" w:line="5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the quarter ended July 31, 2009, 85%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are experiencing difficulties in the current economic environment. We have processes to ensure that we assess the creditworthiness of distributors and resellers prior to our sales to them. In the past we have taken steps to support them, and may take additional steps in the future, such as extending credit terms and providing temporary discounts, which could harm our operating results. If our distributors and resellers were to become insolvent, their inability to maintain their business and sales would negatively impact our business and revenue. We rely significantly upon major distributors and resellers in both the U.S. and international regions, including distributors Tech Data Corporation and its global affiliates (“Tech Data”). Tech Data accounted for 14% of our consolidated net revenue for the three and six months ended July 31, 2009, and 14% and 15% of our consolidated net revenue for the three and six months ended July 31, 2008, respectively.</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which could have a material adverse effect on our results of operations in a given period.</w:t>
      </w:r>
    </w:p>
    <w:p>
      <w:pPr>
        <w:spacing w:after="0" w:line="199"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i w:val="1"/>
          <w:iCs w:val="1"/>
          <w:color w:val="auto"/>
        </w:rPr>
        <w:t>The actions that we have taken in response to the global economic slowdown and our related business slowdown have been costly and may not be as effective as anticipated.</w:t>
      </w:r>
    </w:p>
    <w:p>
      <w:pPr>
        <w:spacing w:after="0" w:line="5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taken actions to reduce our cost structure to more closely align our costs with our revenue levels. In taking these actions, we are attempting to balance the cost of such initiatives against the longer term benefit of such initiatives. In taking these actions, we have incurred additional costs in the short term that have had and may continue to have the effect of reducing our operating margins.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we may take additional actions in the future.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addition, we have taken and continue to take actions to stimulate demand for our products through a number of programs. Although we are attempting to balance the cost of these programs against the longer term benefits, it is possible that we will make such investments without a corresponding increase in demand for our products. This would further reduce our operating margins and have a negative impact on our financial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9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market price for our common stock has experienced significant fluctuations and may continue to fluctuate significantly. The market price for our common stock may be affected by a number of factors, including shortfalls in our expected net revenue, earnings or key performance metrics; changes in estimates or recommendations by securities analysts; the announcement of new products or product enhancements by us or our competitors; quarterly variations in our or our competitors’ results of operations; developments in our industry; unusual events such as significant acquisitions, divestitures, regulatory actions and litigation; changes in laws, rules or regulations applicable to our business; and general socio-economic, political or market conditions and other factors, including factors unrelated to our operating performance, like the current credit issues affecting the economy or the operating performance of our competitors. For example, current global economic conditions have negatively impacted our financial performance and in turn the market price of our common stock.</w:t>
      </w:r>
    </w:p>
    <w:p>
      <w:pPr>
        <w:spacing w:after="0" w:line="10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Our operating results fluctuate within each quarter and from quarter to quarter making our future revenue and operating results difficult to predict.</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quarterly operating results have fluctuated in the past and may do so in the future. These fluctuations could cause our stock price to change significantly or experience declines. In addition to the other factors described in this Part II, Item 1A, some of the factors that could cause our operating results to fluctuate include general global economic conditions, the timing of the introduction of new products by us or our competitors, lower growth or contraction of our upgrade or maintenance programs, stock-based compensation expense, fluctuations in foreign currency exchange rates, the financial and business condition of our reseller and distribution channels, failure to achieve anticipated levels of customer acceptance of key new applications, failure to follow sales policies, restructuring or other charges, unexpected costs or other operating expenses, changes in product pricing or product mix, platform changes, failure to expand our AutoCAD and AutoCAD LT products customer base to related 2D vertical industry and 3D model-based design products, timing of product releases and retirements, failure to continue momentum of frequent release cycles or to move a significant number of customers from prior product versions in connection with our programs to retire major products, failure to accurately predict the impact of acquired businesses, failure to successfully or fully integrate acquired businesses and technologies, unexpected outcomes of matters relating to litigation, failure to achieve continued cost reductions and productivity increases, unanticipated changes in tax rates and tax laws, distribution channel management, changes in sales compensation practices, the timing of large sales, failure to effectively implement our copyright legalization programs, especially in developing countries, failure to achieve sufficient sell-through in our channels for new or existing products, renegotiation or termination of royalty or intellectual property arrangements, interruptions or terminations in the business of our consultants or third party developers, failure to grow lifecycle management or collaboration products, and unanticipated impact of accounting for technology acquisitions.</w:t>
      </w:r>
    </w:p>
    <w:p>
      <w:pPr>
        <w:spacing w:after="0" w:line="12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also experienced fluctuations in operating results in interim periods in certain geographic regions due to seasonality or regional economic conditions. In particular, our operating results in Europe during our third quarter are usually affected by a slow summer period, and our Asia Pacific operations typically experience seasonal slowing in our third and fourth quarters.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operating expenses are based in part on our expectations for future revenue and are relatively fixed in the short term. Accordingly, any revenue shortfall below expectations could have an immediate and significant adverse effect on our profitability. Greater than anticipated expenses or a failure to maintain rigorous cost controls would also negatively affect profitability. Further, gross margins may be adversely affected if our sales of AutoCAD LT, upgrades and Advanced Systems products, which historically have had lower margins, grow at a faster rate than sales of our higher-margin products.</w:t>
      </w:r>
    </w:p>
    <w:p>
      <w:pPr>
        <w:spacing w:after="0" w:line="194"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i w:val="1"/>
          <w:iCs w:val="1"/>
          <w:color w:val="auto"/>
        </w:rPr>
        <w:t>Because we derive a substantial portion of our net revenue from AutoCAD-based software products, if these products are not successful, our net revenue will be adversely affected.</w:t>
      </w:r>
    </w:p>
    <w:p>
      <w:pPr>
        <w:spacing w:after="0" w:line="5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derive a substantial portion of our net revenue from sales of licenses of AutoCAD software, including products based on AutoCAD that serve specific vertical markets, upgrades to those products and products that are interoperable with AutoCAD. As such,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operating results. For example, during the three and six months ended July 31, 2009, combined revenue from our AutoCAD and AutoCAD LT products decreased 39% and 38%, respectively, as compared to the same periods of the prior fiscal year, harming our operating results.</w:t>
      </w:r>
    </w:p>
    <w:p>
      <w:pPr>
        <w:spacing w:after="0" w:line="225"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i w:val="1"/>
          <w:iCs w:val="1"/>
          <w:color w:val="auto"/>
        </w:rPr>
        <w:t>From time to time we are subject to litigation and regulatory inquiries, and we may be named in additional litigation or become involved in regulatory inquiries in the future, all of which could result in an unfavorable outcome and have a material adverse effect on our business, financial condition, results of operations, cash flows and the trading price for our securities.</w:t>
      </w:r>
    </w:p>
    <w:p>
      <w:pPr>
        <w:spacing w:after="0" w:line="5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From time to time, we are involved in litigation or regulatory inquiries. The number and significance of these disputes and inquiries have increased as our business has expanded and our company has grown. Any claims or regulatory actions initiated by or against us, whether successful or not, could be time consuming, result in costly litigation, damage awards, injunctive relief, increased costs of business, require us to change our business practices, require significant amounts of management time, result in the diversion of significant operational resources, or otherwise harm our business.</w:t>
      </w:r>
    </w:p>
    <w:p>
      <w:pPr>
        <w:spacing w:after="0" w:line="194"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and other risks, which could adversely impact our financial results.</w:t>
      </w:r>
    </w:p>
    <w:p>
      <w:pPr>
        <w:spacing w:after="0" w:line="5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These factors have recently adversely impacted and may in the future continue to adversely impact our future international revenue, and consequently our business as a whole. Further, our dependency on international revenue makes us much more exposed to global economic trends, which can negatively impact our financial results, even if our results in the U.S. are strong for a particular period.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practices and tariffs, difficulties in staffing and managing foreign sales and development operations, longer collection cycles for accounts receivable, potential changes in tax laws, tax arrangements with foreign governments and laws regarding the management of data, possible future limitations upon foreign owned businesses, and greater difficulty in protecting intellectual property.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forward and option contracts to manage a portion of our exposures of underlying assets, liabilities and other obligations, which exist as part of our ongoing business operations. These foreign currency instruments have maturities that extend for one to 12 months in the future, and provide us with some protection against currency exposures. Our attempts to hedge against these risks may not be successful, resulting in an adverse impact on our financial results.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second quarter of fiscal 2010, the U.S. dollar strengthened as compared to other currencies, negatively impacting our revenue. If the U.S. dollar continues to strengthen, our future net revenue could be further harmed. Although we have expanded our foreign currency cash flow hedge program beyond the current quarter to a longer term program in order to reduce foreign currency volatility, we cannot completely mitigate this risk, and in any case, will incur transaction fees in adopting such hedging programs.</w:t>
      </w:r>
    </w:p>
    <w:p>
      <w:pPr>
        <w:spacing w:after="0" w:line="224" w:lineRule="exact"/>
        <w:rPr>
          <w:sz w:val="20"/>
          <w:szCs w:val="20"/>
          <w:color w:val="auto"/>
        </w:rPr>
      </w:pPr>
    </w:p>
    <w:p>
      <w:pPr>
        <w:ind w:left="240" w:right="120"/>
        <w:spacing w:after="0" w:line="256"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continue to create a decline in interest rates, deterioration in the credit rating of our investments, or illiquidity in the financial marketplace, we may continue to experience a decline in interest income, an inability to sell our investments, or impairment in the value of our investments.</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our policy to invest our cash, cash equivalents and marketable securities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if the Federal Reserve continues to lower interest rates, the yields on our portfolio securities may further decline. Any one of these factors could reduce our interest income, or result in material charges, which in turn could impact our overall net income and earnings per share.</w:t>
      </w:r>
    </w:p>
    <w:p>
      <w:pPr>
        <w:spacing w:after="0" w:line="12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For example, during fiscal year 2009 we recorded several other-than-temporary impairment charges to recognize the estimated loss in these investments. These charges impacted our overall net income and earnings per share. A further description of our capital resources can be found in the Liquidity and Capital Resources section of Item 2, “Management’s Discussion and Analysis of Financial Condition and Results of Operations” above.</w:t>
      </w:r>
    </w:p>
    <w:p>
      <w:pPr>
        <w:spacing w:after="0" w:line="188" w:lineRule="exact"/>
        <w:rPr>
          <w:sz w:val="20"/>
          <w:szCs w:val="20"/>
          <w:color w:val="auto"/>
        </w:rPr>
      </w:pPr>
    </w:p>
    <w:p>
      <w:pPr>
        <w:ind w:left="240" w:right="820"/>
        <w:spacing w:after="0" w:line="332" w:lineRule="auto"/>
        <w:rPr>
          <w:sz w:val="20"/>
          <w:szCs w:val="20"/>
          <w:color w:val="auto"/>
        </w:rPr>
      </w:pPr>
      <w:r>
        <w:rPr>
          <w:rFonts w:ascii="Arial" w:cs="Arial" w:eastAsia="Arial" w:hAnsi="Arial"/>
          <w:sz w:val="16"/>
          <w:szCs w:val="16"/>
          <w:i w:val="1"/>
          <w:iCs w:val="1"/>
          <w:color w:val="auto"/>
        </w:rPr>
        <w:t>Our efforts to develop and introduce new product and service offerings, including new product features, expose us to risks such as limited customer acceptance, costs related to product defects and large expenditures that may not result in additional net revenue.</w:t>
      </w:r>
    </w:p>
    <w:p>
      <w:pPr>
        <w:spacing w:after="0" w:line="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are devoting significant resources to the development of technologies, like our vertical design products and our digital prototyping and collaboration products. In addition, we frequently introduce new business models that require a considerable investment of technical and financial resources.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 In particular, a critical component of our growth strategy is to have customers of our AutoCAD and AutoCAD LT products expand their portfolios to include our related 2D vertical industry products and our 3D model-based design products such as our Autodesk Inventor products, our Autodesk Revit products, our AutoCAD Civil 3D products and our Autodesk Navisworks products. Should sales of our AutoCAD and AutoCAD LT products decrease without 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corresponding increase in 2D vertical and 3D model-based design product revenue or without purchases of customer seats to our 2D vertical products and 3D model-based design products, our results of operations will be adversely affected.</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Additionally, the software products we offer are complex, and despite extensive testing and quality control, may contain errors or defects. These defects or errors could result in the need for corrective releases to our software products, damage to our reputation, loss of revenue, an increase in product returns or lack of market acceptance of our products, any of which would likely harm our business.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suffer as a result of risks and costs associated with strategic acquisitions and investments.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regularly acquire or invest in businesses, software products and technologies that are complementary to our business through strategic alliances, equity investments or acquisitions. The risks associated with such acquisitions include, among others, the difficulty of assimilating the products, operations and personnel of the companies,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 In addition, such acquisitions and investments may involve significant transaction or integration-related costs. We may not be successful in overcoming such risks, and such acquisitions and investments may negatively impact our business. In addition, such acquisitions and investments have in the past and may in the future contribute to potential fluctuations in quarterly results of operations. The fluctuations could arise from transaction-related costs and charges associated with eliminating redundant expenses or write-offs of impaired assets recorded in connection with acquisitions and investments. For example, during our first quarter of fiscal 2010, we took an impairment charge of $21.0 million, related to goodwill associated with an acquisition in our M&amp;E segment, in addition to an impairment charge of $128.9 million during our fourth quarter of fiscal 2009 also primarily related to goodwill associated with acquisitions in our M&amp;E segment. We also may need to make further investments to support these acquired companies and may have difficulty identifying and acquiring appropriate resources. These costs or charges could negatively impact results of operations for a given period, cause quarter to quarter variability in our operating results or negatively impact our operating results for several future periods.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success depends largely on our ability to attract and retain highly skilled technical, professional, managerial, sales and marketing personnel. Historically, competition for these personnel has been intense. The loss of services of any of our key personnel,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and increased competition may reduce our net revenue and profits.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software industry has limited barriers to entry, and the availability of desktop computers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may adversely affect the sale of our products. Because of these and other factors, competitive conditions in the industry are likely to intensify in the future. Increased competition could result in continued price reductions, reduced net revenue and profit margins and loss of market share, any of which would likely harm our business.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software piracy can be expected to be a persistent problem. Furthermore, our means of protecting our proprietary rights may not be adequate.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more software patents are granted worldwide, as the number of products and competitors in our industry segments grow and as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or could cause product shipment delays or require us to enter into royalty or licensing agreements. In addition, such royalty or license agreements, if required, may not be available on acceptable terms, if at all, which would likely harm our business.</w:t>
      </w:r>
    </w:p>
    <w:p>
      <w:pPr>
        <w:spacing w:after="0" w:line="199" w:lineRule="exact"/>
        <w:rPr>
          <w:sz w:val="20"/>
          <w:szCs w:val="20"/>
          <w:color w:val="auto"/>
        </w:rPr>
      </w:pPr>
    </w:p>
    <w:p>
      <w:pPr>
        <w:ind w:left="240" w:right="240"/>
        <w:spacing w:after="0" w:line="259"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have determined in our Management Report on Internal Control over Financial Reporting, included in our Annual Report on Form 10-K for the fiscal year ended January 31, 2009, that our internal control over financial reporting was effective as of January 31, 2009, we must continue to monitor and assess our internal control over financial reporting. If our management identifies one or more material weaknesses in our internal control over financial reporting and such weakness remains uncorrected at fiscal year end, we will be unable to assert such internal control is effective at fiscal year 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99"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about our accruals, which, if not accurate, may significantly impact our financial results.</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make accruals for a number of items, including employee bonuses, partner incentive programs, product returns reserve, sales commissions, sabbatical, asset retirement obligations and allowance for doubtful accounts. These accruals are based on assumptions, judgments and estimates drawn from historical experience and various other factors that we believe are reasonable under the circumstances when made. Actual results could differ materially from our estimated accruals, and such differences could significantly impact our financial results.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9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transactions completed before such changes are effective. For example, during the first quarter of fiscal 2010, the State of California enacted legislation significantly altering California tax law. As a result of the newly enacted legislation, we expect that in fiscal years 2012 and beyond our income subject to tax in California will be less than under prior tax law and accordingly our deferred tax assets are less likely to be realized. During the first quarter of fiscal 2010 we recorded a net discrete tax charge of $20.9 million related to the re-measurement of our California deferred tax assets to account for this change in tax law, as well as an increase in the valuation allowance for our California deferred tax assets that existed as of January 31, 2009.</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Furthermore, effective as of February 1, 2009, we adopted Statement of Financial Accounting Standards No. 141 (revised 2007) “Business Combinations” (“SFAS 141R”), which requires acquisition-related costs to be expensed as incurred, restructuring costs generally to be expensed in periods subsequent to the acquisition date, in-process research and development to be capitalized as an intangible asset with an indefinite life, and changes in accounting for deferred tax asset valuation allowances and acquired income tax uncertainties after the measurement period, which will impact income tax expense. The impact that SFAS 141R has on our consolidated financial position, results of operations and cash flows will be dependent on the number and size of business combinations that we consummate subsequent to the adoption of the standard, as well as the valuation and allocation of the net assets acquired.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operating results could be negatively impacted if our tax positions are successfully challenged by tax authorities.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rely on third party technologies and if we are unable to use or integrate these technologies, our product and service development may be delayed.</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 would likely negatively impact these third-party developers and end users, which could harm our business.</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Additionally, technology created by outsourced product development, whether outsourced to third parties or developed externally and transferred to us through business or technology acquisitions have certain additional risks. These risks include potential difficulties with effective integration into existing products, adequate transfer of technology know-how and ownership and protection of transferred intellectual property.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9"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51"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We rely on our network and data center infrastructure, internal technology systems and our websites for our development, marketing, operational, support and sales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or damage to our reputation.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securities during the three months ended July 31, 2009.</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our Annual Meeting of Stockholders held on June 11, 2009, the following individuals were re-elected to the Board of Directors. Each Director will serve for the ensuing year and until their successors are duly elected and qualified.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Votes For</w:t>
            </w:r>
          </w:p>
        </w:tc>
        <w:tc>
          <w:tcPr>
            <w:tcW w:w="320" w:type="dxa"/>
            <w:vAlign w:val="bottom"/>
            <w:gridSpan w:val="2"/>
          </w:tcPr>
          <w:p>
            <w:pPr>
              <w:spacing w:after="0"/>
              <w:rPr>
                <w:sz w:val="14"/>
                <w:szCs w:val="14"/>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7"/>
              </w:rPr>
              <w:t>Votes Against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Abstentions</w:t>
            </w:r>
          </w:p>
        </w:tc>
        <w:tc>
          <w:tcPr>
            <w:tcW w:w="24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Carl Bass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197,209,054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8,013,827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143,270</w:t>
            </w:r>
          </w:p>
        </w:tc>
        <w:tc>
          <w:tcPr>
            <w:tcW w:w="2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w w:val="90"/>
              </w:rPr>
              <w:t>Crawford W. Beveridge</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7"/>
              </w:rPr>
              <w:t>188,210,085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5"/>
              </w:rPr>
              <w:t>16,997,679</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158,388</w:t>
            </w:r>
          </w:p>
        </w:tc>
        <w:tc>
          <w:tcPr>
            <w:tcW w:w="2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 Hallam Dawson</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189,514,244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15,696,191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155,716</w:t>
            </w:r>
          </w:p>
        </w:tc>
        <w:tc>
          <w:tcPr>
            <w:tcW w:w="2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w w:val="93"/>
              </w:rPr>
              <w:t>Per-Kristian Halvorsen</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7"/>
              </w:rPr>
              <w:t>174,879,148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5"/>
              </w:rPr>
              <w:t>30,330,597</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156,405</w:t>
            </w:r>
          </w:p>
        </w:tc>
        <w:tc>
          <w:tcPr>
            <w:tcW w:w="2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Sean M. Maloney</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183,753,679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21,456,263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156,208</w:t>
            </w:r>
          </w:p>
        </w:tc>
        <w:tc>
          <w:tcPr>
            <w:tcW w:w="2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rPr>
              <w:t>Elizabeth A. Nelson</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7"/>
              </w:rPr>
              <w:t>197,060,280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8,149,735</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156,136</w:t>
            </w:r>
          </w:p>
        </w:tc>
        <w:tc>
          <w:tcPr>
            <w:tcW w:w="2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Charles J. Robel</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196,712,752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8,496,809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156,590</w:t>
            </w:r>
          </w:p>
        </w:tc>
        <w:tc>
          <w:tcPr>
            <w:tcW w:w="24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rPr>
              <w:t>Steven M. West</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7"/>
              </w:rPr>
              <w:t>176,204,008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5"/>
              </w:rPr>
              <w:t>29,003,917</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158,225</w:t>
            </w:r>
          </w:p>
        </w:tc>
        <w:tc>
          <w:tcPr>
            <w:tcW w:w="240" w:type="dxa"/>
            <w:vAlign w:val="bottom"/>
          </w:tcPr>
          <w:p>
            <w:pPr>
              <w:spacing w:after="0"/>
              <w:rPr>
                <w:sz w:val="19"/>
                <w:szCs w:val="19"/>
                <w:color w:val="auto"/>
              </w:rPr>
            </w:pPr>
          </w:p>
        </w:tc>
      </w:tr>
      <w:tr>
        <w:trPr>
          <w:trHeight w:val="370"/>
        </w:trPr>
        <w:tc>
          <w:tcPr>
            <w:tcW w:w="6840" w:type="dxa"/>
            <w:vAlign w:val="bottom"/>
            <w:gridSpan w:val="6"/>
          </w:tcPr>
          <w:p>
            <w:pPr>
              <w:ind w:left="460"/>
              <w:spacing w:after="0"/>
              <w:rPr>
                <w:sz w:val="20"/>
                <w:szCs w:val="20"/>
                <w:color w:val="auto"/>
              </w:rPr>
            </w:pPr>
            <w:r>
              <w:rPr>
                <w:rFonts w:ascii="Arial" w:cs="Arial" w:eastAsia="Arial" w:hAnsi="Arial"/>
                <w:sz w:val="18"/>
                <w:szCs w:val="18"/>
                <w:color w:val="auto"/>
                <w:w w:val="91"/>
              </w:rPr>
              <w:t>In addition, the following proposals were voted on and approved at our Annual Meeting.</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Broker</w:t>
            </w:r>
          </w:p>
        </w:tc>
      </w:t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Votes For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89"/>
              </w:rPr>
              <w:t>Votes Against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Abstentions</w:t>
            </w:r>
          </w:p>
        </w:tc>
        <w:tc>
          <w:tcPr>
            <w:tcW w:w="20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w w:val="85"/>
              </w:rPr>
              <w:t>Non-Votes</w:t>
            </w:r>
          </w:p>
        </w:tc>
        <w:tc>
          <w:tcPr>
            <w:tcW w:w="240" w:type="dxa"/>
            <w:vAlign w:val="bottom"/>
          </w:tcPr>
          <w:p>
            <w:pPr>
              <w:spacing w:after="0"/>
              <w:rPr>
                <w:sz w:val="14"/>
                <w:szCs w:val="14"/>
                <w:color w:val="auto"/>
              </w:rPr>
            </w:pPr>
          </w:p>
        </w:tc>
      </w:tr>
      <w:tr>
        <w:trPr>
          <w:trHeight w:val="201"/>
        </w:trPr>
        <w:tc>
          <w:tcPr>
            <w:tcW w:w="460" w:type="dxa"/>
            <w:vAlign w:val="bottom"/>
          </w:tcPr>
          <w:p>
            <w:pPr>
              <w:spacing w:after="0"/>
              <w:rPr>
                <w:sz w:val="17"/>
                <w:szCs w:val="17"/>
                <w:color w:val="auto"/>
              </w:rPr>
            </w:pPr>
          </w:p>
        </w:tc>
        <w:tc>
          <w:tcPr>
            <w:tcW w:w="63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Proposal to ratify the appointment of Ernst &amp; Young LLP as the Company’s</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63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independent registered public accounting firm for the fiscal year ending</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24"/>
        </w:trPr>
        <w:tc>
          <w:tcPr>
            <w:tcW w:w="460" w:type="dxa"/>
            <w:vAlign w:val="bottom"/>
          </w:tcPr>
          <w:p>
            <w:pPr>
              <w:spacing w:after="0"/>
              <w:rPr>
                <w:sz w:val="19"/>
                <w:szCs w:val="19"/>
                <w:color w:val="auto"/>
              </w:rPr>
            </w:pPr>
          </w:p>
        </w:tc>
        <w:tc>
          <w:tcPr>
            <w:tcW w:w="1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January 31, 2010</w:t>
            </w:r>
          </w:p>
        </w:tc>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196,814,824</w:t>
            </w: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8,387,401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163,926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322"/>
        </w:trPr>
        <w:tc>
          <w:tcPr>
            <w:tcW w:w="6840" w:type="dxa"/>
            <w:vAlign w:val="bottom"/>
            <w:gridSpan w:val="6"/>
          </w:tcPr>
          <w:p>
            <w:pPr>
              <w:ind w:left="460"/>
              <w:spacing w:after="0"/>
              <w:rPr>
                <w:sz w:val="20"/>
                <w:szCs w:val="20"/>
                <w:color w:val="auto"/>
              </w:rPr>
            </w:pPr>
            <w:r>
              <w:rPr>
                <w:rFonts w:ascii="Arial" w:cs="Arial" w:eastAsia="Arial" w:hAnsi="Arial"/>
                <w:sz w:val="18"/>
                <w:szCs w:val="18"/>
                <w:color w:val="auto"/>
              </w:rPr>
              <w:t>Proposal to approve the 2010 Outside Directors’ Stock Plan</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101,589,900</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82,127,244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178,949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21,470,059</w:t>
            </w:r>
          </w:p>
        </w:tc>
      </w:tr>
      <w:tr>
        <w:trPr>
          <w:trHeight w:val="500"/>
        </w:trPr>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584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INFORMATION</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1000" w:type="dxa"/>
            <w:vAlign w:val="bottom"/>
            <w:gridSpan w:val="3"/>
          </w:tcPr>
          <w:p>
            <w:pPr>
              <w:ind w:left="460"/>
              <w:spacing w:after="0"/>
              <w:rPr>
                <w:sz w:val="20"/>
                <w:szCs w:val="20"/>
                <w:color w:val="auto"/>
              </w:rPr>
            </w:pPr>
            <w:r>
              <w:rPr>
                <w:rFonts w:ascii="Arial" w:cs="Arial" w:eastAsia="Arial" w:hAnsi="Arial"/>
                <w:sz w:val="18"/>
                <w:szCs w:val="18"/>
                <w:color w:val="auto"/>
              </w:rPr>
              <w:t>None.</w:t>
            </w:r>
          </w:p>
        </w:tc>
        <w:tc>
          <w:tcPr>
            <w:tcW w:w="11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00"/>
        </w:trPr>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6840" w:type="dxa"/>
            <w:vAlign w:val="bottom"/>
            <w:gridSpan w:val="6"/>
          </w:tcPr>
          <w:p>
            <w:pPr>
              <w:ind w:left="460"/>
              <w:spacing w:after="0"/>
              <w:rPr>
                <w:sz w:val="20"/>
                <w:szCs w:val="20"/>
                <w:color w:val="auto"/>
              </w:rPr>
            </w:pPr>
            <w:r>
              <w:rPr>
                <w:rFonts w:ascii="Arial" w:cs="Arial" w:eastAsia="Arial" w:hAnsi="Arial"/>
                <w:sz w:val="18"/>
                <w:szCs w:val="18"/>
                <w:color w:val="auto"/>
              </w:rPr>
              <w:t>The Exhibits listed below are filed as part of this Form 10-Q.</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20"/>
        </w:trPr>
        <w:tc>
          <w:tcPr>
            <w:tcW w:w="1000" w:type="dxa"/>
            <w:vAlign w:val="bottom"/>
            <w:gridSpan w:val="3"/>
          </w:tcPr>
          <w:p>
            <w:pPr>
              <w:spacing w:after="0"/>
              <w:rPr>
                <w:sz w:val="20"/>
                <w:szCs w:val="20"/>
                <w:color w:val="auto"/>
              </w:rPr>
            </w:pPr>
            <w:r>
              <w:rPr>
                <w:rFonts w:ascii="Arial" w:cs="Arial" w:eastAsia="Arial" w:hAnsi="Arial"/>
                <w:sz w:val="18"/>
                <w:szCs w:val="18"/>
                <w:color w:val="auto"/>
              </w:rPr>
              <w:t>Exhibit 3.1</w:t>
            </w:r>
          </w:p>
        </w:tc>
        <w:tc>
          <w:tcPr>
            <w:tcW w:w="1160" w:type="dxa"/>
            <w:vAlign w:val="bottom"/>
          </w:tcPr>
          <w:p>
            <w:pPr>
              <w:spacing w:after="0"/>
              <w:rPr>
                <w:sz w:val="24"/>
                <w:szCs w:val="24"/>
                <w:color w:val="auto"/>
              </w:rPr>
            </w:pPr>
          </w:p>
        </w:tc>
        <w:tc>
          <w:tcPr>
            <w:tcW w:w="9040" w:type="dxa"/>
            <w:vAlign w:val="bottom"/>
            <w:gridSpan w:val="16"/>
          </w:tcPr>
          <w:p>
            <w:pPr>
              <w:ind w:left="20"/>
              <w:spacing w:after="0"/>
              <w:rPr>
                <w:sz w:val="20"/>
                <w:szCs w:val="20"/>
                <w:color w:val="auto"/>
              </w:rPr>
            </w:pPr>
            <w:r>
              <w:rPr>
                <w:rFonts w:ascii="Arial" w:cs="Arial" w:eastAsia="Arial" w:hAnsi="Arial"/>
                <w:sz w:val="18"/>
                <w:szCs w:val="18"/>
                <w:color w:val="auto"/>
                <w:w w:val="90"/>
              </w:rPr>
              <w:t xml:space="preserve">Amended and Restated Bylaws of Autodesk, Inc. (as of June 11, 2009 </w:t>
            </w:r>
            <w:r>
              <w:rPr>
                <w:rFonts w:ascii="Arial" w:cs="Arial" w:eastAsia="Arial" w:hAnsi="Arial"/>
                <w:sz w:val="18"/>
                <w:szCs w:val="18"/>
                <w:i w:val="1"/>
                <w:iCs w:val="1"/>
                <w:color w:val="auto"/>
                <w:w w:val="90"/>
              </w:rPr>
              <w:t>(incorporated by reference to Exhibit 3.1 filed with the</w:t>
            </w:r>
          </w:p>
        </w:tc>
      </w:tr>
      <w:tr>
        <w:trPr>
          <w:trHeight w:val="222"/>
        </w:trPr>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i w:val="1"/>
                <w:iCs w:val="1"/>
                <w:color w:val="auto"/>
                <w:w w:val="89"/>
              </w:rPr>
              <w:t>Registrant’s Current Report on Form 8-K filed on June 16, 2009).</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8"/>
        </w:trPr>
        <w:tc>
          <w:tcPr>
            <w:tcW w:w="1000" w:type="dxa"/>
            <w:vAlign w:val="bottom"/>
            <w:gridSpan w:val="3"/>
          </w:tcPr>
          <w:p>
            <w:pPr>
              <w:spacing w:after="0"/>
              <w:rPr>
                <w:sz w:val="20"/>
                <w:szCs w:val="20"/>
                <w:color w:val="auto"/>
              </w:rPr>
            </w:pPr>
            <w:r>
              <w:rPr>
                <w:rFonts w:ascii="Arial" w:cs="Arial" w:eastAsia="Arial" w:hAnsi="Arial"/>
                <w:sz w:val="18"/>
                <w:szCs w:val="18"/>
                <w:color w:val="auto"/>
                <w:w w:val="96"/>
              </w:rPr>
              <w:t>Exhibit 10.1*</w:t>
            </w:r>
          </w:p>
        </w:tc>
        <w:tc>
          <w:tcPr>
            <w:tcW w:w="1160" w:type="dxa"/>
            <w:vAlign w:val="bottom"/>
          </w:tcPr>
          <w:p>
            <w:pPr>
              <w:spacing w:after="0"/>
              <w:rPr>
                <w:sz w:val="24"/>
                <w:szCs w:val="24"/>
                <w:color w:val="auto"/>
              </w:rPr>
            </w:pPr>
          </w:p>
        </w:tc>
        <w:tc>
          <w:tcPr>
            <w:tcW w:w="9040" w:type="dxa"/>
            <w:vAlign w:val="bottom"/>
            <w:gridSpan w:val="16"/>
          </w:tcPr>
          <w:p>
            <w:pPr>
              <w:ind w:left="20"/>
              <w:spacing w:after="0"/>
              <w:rPr>
                <w:sz w:val="20"/>
                <w:szCs w:val="20"/>
                <w:color w:val="auto"/>
              </w:rPr>
            </w:pPr>
            <w:r>
              <w:rPr>
                <w:rFonts w:ascii="Arial" w:cs="Arial" w:eastAsia="Arial" w:hAnsi="Arial"/>
                <w:sz w:val="18"/>
                <w:szCs w:val="18"/>
                <w:color w:val="auto"/>
                <w:w w:val="89"/>
              </w:rPr>
              <w:t>Autodesk, Inc. 2010 Outside Directors’ Stock Plan (</w:t>
            </w:r>
            <w:r>
              <w:rPr>
                <w:rFonts w:ascii="Arial" w:cs="Arial" w:eastAsia="Arial" w:hAnsi="Arial"/>
                <w:sz w:val="18"/>
                <w:szCs w:val="18"/>
                <w:i w:val="1"/>
                <w:iCs w:val="1"/>
                <w:color w:val="auto"/>
                <w:w w:val="89"/>
              </w:rPr>
              <w:t>incorporated by reference to Exhibit 10.1 filed with the Registrant’s Current</w:t>
            </w:r>
          </w:p>
        </w:tc>
      </w:tr>
      <w:tr>
        <w:trPr>
          <w:trHeight w:val="222"/>
        </w:trPr>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i w:val="1"/>
                <w:iCs w:val="1"/>
                <w:color w:val="auto"/>
              </w:rPr>
              <w:t>Report on Form 8-K filed on June 16, 2009</w:t>
            </w: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8"/>
        </w:trPr>
        <w:tc>
          <w:tcPr>
            <w:tcW w:w="1000" w:type="dxa"/>
            <w:vAlign w:val="bottom"/>
            <w:gridSpan w:val="3"/>
          </w:tcPr>
          <w:p>
            <w:pPr>
              <w:spacing w:after="0"/>
              <w:rPr>
                <w:sz w:val="20"/>
                <w:szCs w:val="20"/>
                <w:color w:val="auto"/>
              </w:rPr>
            </w:pPr>
            <w:r>
              <w:rPr>
                <w:rFonts w:ascii="Arial" w:cs="Arial" w:eastAsia="Arial" w:hAnsi="Arial"/>
                <w:sz w:val="18"/>
                <w:szCs w:val="18"/>
                <w:color w:val="auto"/>
                <w:w w:val="96"/>
              </w:rPr>
              <w:t>Exhibit 10.2*</w:t>
            </w:r>
          </w:p>
        </w:tc>
        <w:tc>
          <w:tcPr>
            <w:tcW w:w="1160" w:type="dxa"/>
            <w:vAlign w:val="bottom"/>
          </w:tcPr>
          <w:p>
            <w:pPr>
              <w:spacing w:after="0"/>
              <w:rPr>
                <w:sz w:val="24"/>
                <w:szCs w:val="24"/>
                <w:color w:val="auto"/>
              </w:rPr>
            </w:pPr>
          </w:p>
        </w:tc>
        <w:tc>
          <w:tcPr>
            <w:tcW w:w="9040" w:type="dxa"/>
            <w:vAlign w:val="bottom"/>
            <w:gridSpan w:val="16"/>
          </w:tcPr>
          <w:p>
            <w:pPr>
              <w:ind w:left="20"/>
              <w:spacing w:after="0"/>
              <w:rPr>
                <w:sz w:val="20"/>
                <w:szCs w:val="20"/>
                <w:color w:val="auto"/>
              </w:rPr>
            </w:pPr>
            <w:r>
              <w:rPr>
                <w:rFonts w:ascii="Arial" w:cs="Arial" w:eastAsia="Arial" w:hAnsi="Arial"/>
                <w:sz w:val="18"/>
                <w:szCs w:val="18"/>
                <w:color w:val="auto"/>
                <w:w w:val="91"/>
              </w:rPr>
              <w:t>Participants, target awards and payout formulas for fiscal year 2010 under the Autodesk Incentive Plan for Fiscal Year 2010</w:t>
            </w:r>
          </w:p>
        </w:tc>
      </w:tr>
      <w:tr>
        <w:trPr>
          <w:trHeight w:val="222"/>
        </w:trPr>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80" w:type="dxa"/>
            <w:vAlign w:val="bottom"/>
            <w:gridSpan w:val="13"/>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incorporated by reference to Item 5.02 of the Registrant’s Current Report on Form 8-K filed on May 1, 2009)</w:t>
            </w:r>
            <w:r>
              <w:rPr>
                <w:rFonts w:ascii="Arial" w:cs="Arial" w:eastAsia="Arial" w:hAnsi="Arial"/>
                <w:sz w:val="18"/>
                <w:szCs w:val="18"/>
                <w:color w:val="auto"/>
                <w:w w:val="90"/>
              </w:rPr>
              <w:t>.</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w w:val="96"/>
              </w:rPr>
              <w:t>Exhibit 10.3*</w:t>
            </w:r>
          </w:p>
        </w:tc>
        <w:tc>
          <w:tcPr>
            <w:tcW w:w="1160" w:type="dxa"/>
            <w:vAlign w:val="bottom"/>
          </w:tcPr>
          <w:p>
            <w:pPr>
              <w:spacing w:after="0"/>
              <w:rPr>
                <w:sz w:val="24"/>
                <w:szCs w:val="24"/>
                <w:color w:val="auto"/>
              </w:rPr>
            </w:pPr>
          </w:p>
        </w:tc>
        <w:tc>
          <w:tcPr>
            <w:tcW w:w="7880" w:type="dxa"/>
            <w:vAlign w:val="bottom"/>
            <w:gridSpan w:val="13"/>
          </w:tcPr>
          <w:p>
            <w:pPr>
              <w:ind w:left="20"/>
              <w:spacing w:after="0"/>
              <w:rPr>
                <w:sz w:val="20"/>
                <w:szCs w:val="20"/>
                <w:color w:val="auto"/>
              </w:rPr>
            </w:pPr>
            <w:r>
              <w:rPr>
                <w:rFonts w:ascii="Arial" w:cs="Arial" w:eastAsia="Arial" w:hAnsi="Arial"/>
                <w:sz w:val="18"/>
                <w:szCs w:val="18"/>
                <w:color w:val="auto"/>
                <w:w w:val="97"/>
              </w:rPr>
              <w:t>The Autodesk Incentive Plan Fiscal Year 2010, February 1, 2009 – January 31, 2010 (</w:t>
            </w:r>
            <w:r>
              <w:rPr>
                <w:rFonts w:ascii="Arial" w:cs="Arial" w:eastAsia="Arial" w:hAnsi="Arial"/>
                <w:sz w:val="18"/>
                <w:szCs w:val="18"/>
                <w:i w:val="1"/>
                <w:iCs w:val="1"/>
                <w:color w:val="auto"/>
                <w:w w:val="97"/>
              </w:rPr>
              <w:t>filed herewith</w:t>
            </w:r>
            <w:r>
              <w:rPr>
                <w:rFonts w:ascii="Arial" w:cs="Arial" w:eastAsia="Arial" w:hAnsi="Arial"/>
                <w:sz w:val="18"/>
                <w:szCs w:val="18"/>
                <w:color w:val="auto"/>
                <w:w w:val="97"/>
              </w:rPr>
              <w:t>).</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Exhibit 31.1</w:t>
            </w:r>
          </w:p>
        </w:tc>
        <w:tc>
          <w:tcPr>
            <w:tcW w:w="1160" w:type="dxa"/>
            <w:vAlign w:val="bottom"/>
          </w:tcPr>
          <w:p>
            <w:pPr>
              <w:spacing w:after="0"/>
              <w:rPr>
                <w:sz w:val="24"/>
                <w:szCs w:val="24"/>
                <w:color w:val="auto"/>
              </w:rPr>
            </w:pPr>
          </w:p>
        </w:tc>
        <w:tc>
          <w:tcPr>
            <w:tcW w:w="7880" w:type="dxa"/>
            <w:vAlign w:val="bottom"/>
            <w:gridSpan w:val="13"/>
          </w:tcPr>
          <w:p>
            <w:pPr>
              <w:ind w:left="20"/>
              <w:spacing w:after="0"/>
              <w:rPr>
                <w:sz w:val="20"/>
                <w:szCs w:val="20"/>
                <w:color w:val="auto"/>
              </w:rPr>
            </w:pPr>
            <w:r>
              <w:rPr>
                <w:rFonts w:ascii="Arial" w:cs="Arial" w:eastAsia="Arial" w:hAnsi="Arial"/>
                <w:sz w:val="18"/>
                <w:szCs w:val="18"/>
                <w:color w:val="auto"/>
                <w:w w:val="93"/>
              </w:rPr>
              <w:t>Certification of Chief Executive Officer pursuant to Rule 13a-14(a) of the Securities Exchange Act of 1934</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5"/>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Exhibit 31.2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p>
      <w:pPr>
        <w:spacing w:after="0" w:line="140" w:lineRule="exact"/>
        <w:rPr>
          <w:sz w:val="20"/>
          <w:szCs w:val="20"/>
          <w:color w:val="auto"/>
        </w:rPr>
      </w:pPr>
    </w:p>
    <w:p>
      <w:pPr>
        <w:sectPr>
          <w:pgSz w:w="11900" w:h="16838" w:orient="portrait"/>
          <w:cols w:equalWidth="0" w:num="2">
            <w:col w:w="1460" w:space="720"/>
            <w:col w:w="91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32.1 †</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78" w:lineRule="exact"/>
        <w:rPr>
          <w:sz w:val="20"/>
          <w:szCs w:val="20"/>
          <w:color w:val="auto"/>
        </w:rPr>
      </w:pPr>
    </w:p>
    <w:p>
      <w:pPr>
        <w:sectPr>
          <w:pgSz w:w="11900" w:h="16838" w:orient="portrait"/>
          <w:cols w:equalWidth="0" w:num="2">
            <w:col w:w="1460" w:space="720"/>
            <w:col w:w="91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101.INS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140" w:lineRule="exact"/>
        <w:rPr>
          <w:sz w:val="20"/>
          <w:szCs w:val="20"/>
          <w:color w:val="auto"/>
        </w:rPr>
      </w:pPr>
    </w:p>
    <w:p>
      <w:pPr>
        <w:sectPr>
          <w:pgSz w:w="11900" w:h="16838" w:orient="portrait"/>
          <w:cols w:equalWidth="0" w:num="2">
            <w:col w:w="1460" w:space="720"/>
            <w:col w:w="91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101.SCH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140" w:lineRule="exact"/>
        <w:rPr>
          <w:sz w:val="20"/>
          <w:szCs w:val="20"/>
          <w:color w:val="auto"/>
        </w:rPr>
      </w:pPr>
    </w:p>
    <w:p>
      <w:pPr>
        <w:sectPr>
          <w:pgSz w:w="11900" w:h="16838" w:orient="portrait"/>
          <w:cols w:equalWidth="0" w:num="2">
            <w:col w:w="1460" w:space="720"/>
            <w:col w:w="91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101.CAL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140" w:lineRule="exact"/>
        <w:rPr>
          <w:sz w:val="20"/>
          <w:szCs w:val="20"/>
          <w:color w:val="auto"/>
        </w:rPr>
      </w:pPr>
    </w:p>
    <w:p>
      <w:pPr>
        <w:sectPr>
          <w:pgSz w:w="11900" w:h="16838" w:orient="portrait"/>
          <w:cols w:equalWidth="0" w:num="2">
            <w:col w:w="1460" w:space="720"/>
            <w:col w:w="91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101.LAB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140" w:lineRule="exact"/>
        <w:rPr>
          <w:sz w:val="20"/>
          <w:szCs w:val="20"/>
          <w:color w:val="auto"/>
        </w:rPr>
      </w:pPr>
    </w:p>
    <w:p>
      <w:pPr>
        <w:sectPr>
          <w:pgSz w:w="11900" w:h="16838" w:orient="portrait"/>
          <w:cols w:equalWidth="0" w:num="2">
            <w:col w:w="1460" w:space="720"/>
            <w:col w:w="91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101.PRE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181" w:lineRule="exact"/>
        <w:rPr>
          <w:sz w:val="20"/>
          <w:szCs w:val="20"/>
          <w:color w:val="auto"/>
        </w:rPr>
      </w:pPr>
    </w:p>
    <w:p>
      <w:pPr>
        <w:sectPr>
          <w:pgSz w:w="11900" w:h="16838" w:orient="portrait"/>
          <w:cols w:equalWidth="0" w:num="2">
            <w:col w:w="1460" w:space="720"/>
            <w:col w:w="9140"/>
          </w:cols>
          <w:pgMar w:left="240" w:top="459" w:right="339" w:bottom="1440" w:gutter="0" w:footer="0" w:header="0"/>
          <w:type w:val="continuous"/>
        </w:sect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spacing w:after="0" w:line="15" w:lineRule="exact"/>
        <w:rPr>
          <w:sz w:val="20"/>
          <w:szCs w:val="20"/>
          <w:color w:val="auto"/>
        </w:rPr>
      </w:pPr>
    </w:p>
    <w:p>
      <w:pPr>
        <w:ind w:left="460" w:right="160" w:hanging="452"/>
        <w:spacing w:after="0" w:line="300"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w:t>
      </w:r>
    </w:p>
    <w:p>
      <w:pPr>
        <w:spacing w:after="0" w:line="1" w:lineRule="exact"/>
        <w:rPr>
          <w:sz w:val="20"/>
          <w:szCs w:val="20"/>
          <w:color w:val="auto"/>
        </w:rPr>
      </w:pPr>
    </w:p>
    <w:p>
      <w:pPr>
        <w:ind w:left="460"/>
        <w:spacing w:after="0" w:line="250" w:lineRule="auto"/>
        <w:rPr>
          <w:sz w:val="20"/>
          <w:szCs w:val="20"/>
          <w:color w:val="auto"/>
        </w:rPr>
      </w:pPr>
      <w:r>
        <w:rPr>
          <w:rFonts w:ascii="Arial" w:cs="Arial" w:eastAsia="Arial" w:hAnsi="Arial"/>
          <w:sz w:val="18"/>
          <w:szCs w:val="18"/>
          <w:color w:val="auto"/>
        </w:rPr>
        <w:t>Exchange Act of 1934, as amended, whether made before or after the date of this Form 10-Q, irrespective of any general incorporation language contained in such filing.</w:t>
      </w:r>
    </w:p>
    <w:p>
      <w:pPr>
        <w:spacing w:after="0" w:line="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 and is furnished, not filed with the Securities and Exchange Commission.</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56</w:t>
      </w:r>
    </w:p>
    <w:p>
      <w:pPr>
        <w:sectPr>
          <w:pgSz w:w="11900" w:h="16838" w:orient="portrait"/>
          <w:cols w:equalWidth="0" w:num="1">
            <w:col w:w="11320"/>
          </w:cols>
          <w:pgMar w:left="240" w:top="459" w:right="3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28,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AUTODESK,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452370" cy="437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5237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Autodesk Incentive Plan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 2010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February 1, 2009 – January 31, 2010</w:t>
      </w:r>
    </w:p>
    <w:p>
      <w:pPr>
        <w:sectPr>
          <w:pgSz w:w="11900" w:h="16838" w:orient="portrait"/>
          <w:cols w:equalWidth="0" w:num="1">
            <w:col w:w="11420"/>
          </w:cols>
          <w:pgMar w:left="240" w:top="12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7620" w:type="dxa"/>
            <w:vAlign w:val="bottom"/>
          </w:tcPr>
          <w:p>
            <w:pPr>
              <w:jc w:val="right"/>
              <w:ind w:right="4952"/>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3800" w:type="dxa"/>
            <w:vAlign w:val="bottom"/>
          </w:tcPr>
          <w:p>
            <w:pPr>
              <w:spacing w:after="0"/>
              <w:rPr>
                <w:sz w:val="20"/>
                <w:szCs w:val="20"/>
                <w:color w:val="auto"/>
              </w:rPr>
            </w:pPr>
            <w:r>
              <w:rPr>
                <w:rFonts w:ascii="Arial" w:cs="Arial" w:eastAsia="Arial" w:hAnsi="Arial"/>
                <w:sz w:val="18"/>
                <w:szCs w:val="18"/>
                <w:b w:val="1"/>
                <w:bCs w:val="1"/>
                <w:color w:val="auto"/>
              </w:rPr>
              <w:t>Overview</w:t>
            </w:r>
          </w:p>
        </w:tc>
        <w:tc>
          <w:tcPr>
            <w:tcW w:w="76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3800" w:type="dxa"/>
            <w:vAlign w:val="bottom"/>
          </w:tcPr>
          <w:p>
            <w:pPr>
              <w:spacing w:after="0"/>
              <w:rPr>
                <w:sz w:val="20"/>
                <w:szCs w:val="20"/>
                <w:color w:val="auto"/>
              </w:rPr>
            </w:pPr>
            <w:r>
              <w:rPr>
                <w:rFonts w:ascii="Arial" w:cs="Arial" w:eastAsia="Arial" w:hAnsi="Arial"/>
                <w:sz w:val="18"/>
                <w:szCs w:val="18"/>
                <w:b w:val="1"/>
                <w:bCs w:val="1"/>
                <w:color w:val="auto"/>
              </w:rPr>
              <w:t>Plan Year</w:t>
            </w:r>
          </w:p>
        </w:tc>
        <w:tc>
          <w:tcPr>
            <w:tcW w:w="76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3800" w:type="dxa"/>
            <w:vAlign w:val="bottom"/>
          </w:tcPr>
          <w:p>
            <w:pPr>
              <w:spacing w:after="0"/>
              <w:rPr>
                <w:sz w:val="20"/>
                <w:szCs w:val="20"/>
                <w:color w:val="auto"/>
              </w:rPr>
            </w:pPr>
            <w:r>
              <w:rPr>
                <w:rFonts w:ascii="Arial" w:cs="Arial" w:eastAsia="Arial" w:hAnsi="Arial"/>
                <w:sz w:val="18"/>
                <w:szCs w:val="18"/>
                <w:b w:val="1"/>
                <w:bCs w:val="1"/>
                <w:color w:val="auto"/>
              </w:rPr>
              <w:t>Eligibility</w:t>
            </w:r>
          </w:p>
        </w:tc>
        <w:tc>
          <w:tcPr>
            <w:tcW w:w="76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3800" w:type="dxa"/>
            <w:vAlign w:val="bottom"/>
          </w:tcPr>
          <w:p>
            <w:pPr>
              <w:spacing w:after="0"/>
              <w:rPr>
                <w:sz w:val="20"/>
                <w:szCs w:val="20"/>
                <w:color w:val="auto"/>
              </w:rPr>
            </w:pPr>
            <w:r>
              <w:rPr>
                <w:rFonts w:ascii="Arial" w:cs="Arial" w:eastAsia="Arial" w:hAnsi="Arial"/>
                <w:sz w:val="18"/>
                <w:szCs w:val="18"/>
                <w:b w:val="1"/>
                <w:bCs w:val="1"/>
                <w:color w:val="auto"/>
              </w:rPr>
              <w:t>Target Incentive</w:t>
            </w:r>
          </w:p>
        </w:tc>
        <w:tc>
          <w:tcPr>
            <w:tcW w:w="76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3800" w:type="dxa"/>
            <w:vAlign w:val="bottom"/>
          </w:tcPr>
          <w:p>
            <w:pPr>
              <w:spacing w:after="0"/>
              <w:rPr>
                <w:sz w:val="20"/>
                <w:szCs w:val="20"/>
                <w:color w:val="auto"/>
              </w:rPr>
            </w:pPr>
            <w:r>
              <w:rPr>
                <w:rFonts w:ascii="Arial" w:cs="Arial" w:eastAsia="Arial" w:hAnsi="Arial"/>
                <w:sz w:val="18"/>
                <w:szCs w:val="18"/>
                <w:b w:val="1"/>
                <w:bCs w:val="1"/>
                <w:color w:val="auto"/>
              </w:rPr>
              <w:t>Plan Funding</w:t>
            </w:r>
          </w:p>
        </w:tc>
        <w:tc>
          <w:tcPr>
            <w:tcW w:w="76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3800" w:type="dxa"/>
            <w:vAlign w:val="bottom"/>
          </w:tcPr>
          <w:p>
            <w:pPr>
              <w:spacing w:after="0"/>
              <w:rPr>
                <w:sz w:val="20"/>
                <w:szCs w:val="20"/>
                <w:color w:val="auto"/>
              </w:rPr>
            </w:pPr>
            <w:r>
              <w:rPr>
                <w:rFonts w:ascii="Arial" w:cs="Arial" w:eastAsia="Arial" w:hAnsi="Arial"/>
                <w:sz w:val="18"/>
                <w:szCs w:val="18"/>
                <w:b w:val="1"/>
                <w:bCs w:val="1"/>
                <w:color w:val="auto"/>
              </w:rPr>
              <w:t>Individual Bonus Awards</w:t>
            </w:r>
          </w:p>
        </w:tc>
        <w:tc>
          <w:tcPr>
            <w:tcW w:w="76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3800" w:type="dxa"/>
            <w:vAlign w:val="bottom"/>
          </w:tcPr>
          <w:p>
            <w:pPr>
              <w:spacing w:after="0"/>
              <w:rPr>
                <w:sz w:val="20"/>
                <w:szCs w:val="20"/>
                <w:color w:val="auto"/>
              </w:rPr>
            </w:pPr>
            <w:r>
              <w:rPr>
                <w:rFonts w:ascii="Arial" w:cs="Arial" w:eastAsia="Arial" w:hAnsi="Arial"/>
                <w:sz w:val="18"/>
                <w:szCs w:val="18"/>
                <w:b w:val="1"/>
                <w:bCs w:val="1"/>
                <w:color w:val="auto"/>
              </w:rPr>
              <w:t>Bonus Payout Schedule</w:t>
            </w:r>
          </w:p>
        </w:tc>
        <w:tc>
          <w:tcPr>
            <w:tcW w:w="76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3800" w:type="dxa"/>
            <w:vAlign w:val="bottom"/>
          </w:tcPr>
          <w:p>
            <w:pPr>
              <w:spacing w:after="0"/>
              <w:rPr>
                <w:sz w:val="20"/>
                <w:szCs w:val="20"/>
                <w:color w:val="auto"/>
              </w:rPr>
            </w:pPr>
            <w:r>
              <w:rPr>
                <w:rFonts w:ascii="Arial" w:cs="Arial" w:eastAsia="Arial" w:hAnsi="Arial"/>
                <w:sz w:val="18"/>
                <w:szCs w:val="18"/>
                <w:b w:val="1"/>
                <w:bCs w:val="1"/>
                <w:color w:val="auto"/>
              </w:rPr>
              <w:t>Interpretation</w:t>
            </w:r>
          </w:p>
        </w:tc>
        <w:tc>
          <w:tcPr>
            <w:tcW w:w="76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3800" w:type="dxa"/>
            <w:vAlign w:val="bottom"/>
          </w:tcPr>
          <w:p>
            <w:pPr>
              <w:spacing w:after="0"/>
              <w:rPr>
                <w:sz w:val="20"/>
                <w:szCs w:val="20"/>
                <w:color w:val="auto"/>
              </w:rPr>
            </w:pPr>
            <w:r>
              <w:rPr>
                <w:rFonts w:ascii="Arial" w:cs="Arial" w:eastAsia="Arial" w:hAnsi="Arial"/>
                <w:sz w:val="18"/>
                <w:szCs w:val="18"/>
                <w:b w:val="1"/>
                <w:bCs w:val="1"/>
                <w:color w:val="auto"/>
              </w:rPr>
              <w:t>Plan Changes/Employment Status</w:t>
            </w:r>
          </w:p>
        </w:tc>
        <w:tc>
          <w:tcPr>
            <w:tcW w:w="76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151"/>
        </w:trPr>
        <w:tc>
          <w:tcPr>
            <w:tcW w:w="3800" w:type="dxa"/>
            <w:vAlign w:val="bottom"/>
            <w:tcBorders>
              <w:bottom w:val="single" w:sz="8" w:color="auto"/>
            </w:tcBorders>
          </w:tcPr>
          <w:p>
            <w:pPr>
              <w:spacing w:after="0"/>
              <w:rPr>
                <w:sz w:val="13"/>
                <w:szCs w:val="13"/>
                <w:color w:val="auto"/>
              </w:rPr>
            </w:pPr>
          </w:p>
        </w:tc>
        <w:tc>
          <w:tcPr>
            <w:tcW w:w="7620" w:type="dxa"/>
            <w:vAlign w:val="bottom"/>
            <w:tcBorders>
              <w:bottom w:val="single" w:sz="8" w:color="auto"/>
            </w:tcBorders>
          </w:tcPr>
          <w:p>
            <w:pPr>
              <w:spacing w:after="0"/>
              <w:rPr>
                <w:sz w:val="13"/>
                <w:szCs w:val="13"/>
                <w:color w:val="auto"/>
              </w:rPr>
            </w:pP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i w:val="1"/>
                <w:iCs w:val="1"/>
                <w:color w:val="auto"/>
              </w:rPr>
              <w:t>The Autodesk Incentive Plan</w:t>
            </w:r>
          </w:p>
        </w:tc>
        <w:tc>
          <w:tcPr>
            <w:tcW w:w="7620" w:type="dxa"/>
            <w:vAlign w:val="bottom"/>
          </w:tcPr>
          <w:p>
            <w:pPr>
              <w:jc w:val="right"/>
              <w:ind w:right="5332"/>
              <w:spacing w:after="0" w:line="201" w:lineRule="exact"/>
              <w:rPr>
                <w:sz w:val="20"/>
                <w:szCs w:val="20"/>
                <w:color w:val="auto"/>
              </w:rPr>
            </w:pPr>
            <w:r>
              <w:rPr>
                <w:rFonts w:ascii="Arial" w:cs="Arial" w:eastAsia="Arial" w:hAnsi="Arial"/>
                <w:sz w:val="18"/>
                <w:szCs w:val="18"/>
                <w:i w:val="1"/>
                <w:iCs w:val="1"/>
                <w:color w:val="auto"/>
              </w:rPr>
              <w:t>2</w:t>
            </w:r>
          </w:p>
        </w:tc>
      </w:tr>
      <w:tr>
        <w:trPr>
          <w:trHeight w:val="236"/>
        </w:trPr>
        <w:tc>
          <w:tcPr>
            <w:tcW w:w="3800" w:type="dxa"/>
            <w:vAlign w:val="bottom"/>
          </w:tcPr>
          <w:p>
            <w:pPr>
              <w:spacing w:after="0"/>
              <w:rPr>
                <w:sz w:val="20"/>
                <w:szCs w:val="20"/>
                <w:color w:val="auto"/>
              </w:rPr>
            </w:pPr>
            <w:r>
              <w:rPr>
                <w:rFonts w:ascii="Arial" w:cs="Arial" w:eastAsia="Arial" w:hAnsi="Arial"/>
                <w:sz w:val="18"/>
                <w:szCs w:val="18"/>
                <w:i w:val="1"/>
                <w:iCs w:val="1"/>
                <w:color w:val="auto"/>
              </w:rPr>
              <w:t>Fiscal Year 2010</w:t>
            </w:r>
          </w:p>
        </w:tc>
        <w:tc>
          <w:tcPr>
            <w:tcW w:w="7620" w:type="dxa"/>
            <w:vAlign w:val="bottom"/>
          </w:tcPr>
          <w:p>
            <w:pPr>
              <w:jc w:val="right"/>
              <w:spacing w:after="0"/>
              <w:rPr>
                <w:sz w:val="20"/>
                <w:szCs w:val="20"/>
                <w:color w:val="auto"/>
              </w:rPr>
            </w:pPr>
            <w:r>
              <w:rPr>
                <w:rFonts w:ascii="Arial" w:cs="Arial" w:eastAsia="Arial" w:hAnsi="Arial"/>
                <w:sz w:val="18"/>
                <w:szCs w:val="18"/>
                <w:i w:val="1"/>
                <w:iCs w:val="1"/>
                <w:color w:val="auto"/>
              </w:rPr>
              <w:t>March 3, 2009</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Overview</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FY10 Autodesk Incentive Plan (“AIP” or the “Plan”) describes the terms and conditions for participation in and funding of this bonus program for eligible employees of Autodesk, Inc. and its subsidiaries (“Autodesk” or “Company”). The AIP is an overall corporate bonus plan, which is funded based upon the Company’s achievement of specific financial and non-financial goals.</w:t>
      </w:r>
    </w:p>
    <w:p>
      <w:pPr>
        <w:spacing w:after="0" w:line="14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decision whether to grant an AIP award (“Bonus”) to an eligible Plan participant (“Participant”), as well as the amount of any Bonus, is determined by the Company in its sole discretion and is based on various factors including the amount of the AIP funding pool and the Participant’s individual achievement.</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Except as otherwise provided herein, this Plan supersedes all prior or contemporaneous incentive plans issued by the Company (but not sales compensation plans or the executive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FY10 AIP period is the Autodesk fiscal year, February 1, 2009 through January 31, 2010 (“Plan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regular, non-sales employees of Autodesk are eligible to participate in the AIP. (In most cases, sales employees participate in separate compensation plans and are not eligible to participate in the AIP).</w:t>
      </w:r>
    </w:p>
    <w:p>
      <w:pPr>
        <w:spacing w:after="0" w:line="132"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To be eligible to earn a Bonus under the Plan, Participants must start employment with the Company prior to January 1, 2010. Except as otherwise required by local law or as determined by Autodesk in its sole discretion, Participants also must be active regular employees on the Autodesk payroll on the Bonus payout date in order to be eligible to earn a Bonus under the Plan. Participants who resign from their employment with the Company or whose employment terminates for any other reason prior to the Bonus payout date will not earn any Bonus.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The Autodesk Incentive Plan</w:t>
            </w:r>
          </w:p>
        </w:tc>
        <w:tc>
          <w:tcPr>
            <w:tcW w:w="7460" w:type="dxa"/>
            <w:vAlign w:val="bottom"/>
            <w:tcBorders>
              <w:top w:val="single" w:sz="8" w:color="auto"/>
            </w:tcBorders>
          </w:tcPr>
          <w:p>
            <w:pPr>
              <w:jc w:val="right"/>
              <w:ind w:right="5332"/>
              <w:spacing w:after="0"/>
              <w:rPr>
                <w:sz w:val="20"/>
                <w:szCs w:val="20"/>
                <w:color w:val="auto"/>
              </w:rPr>
            </w:pPr>
            <w:r>
              <w:rPr>
                <w:rFonts w:ascii="Arial" w:cs="Arial" w:eastAsia="Arial" w:hAnsi="Arial"/>
                <w:sz w:val="18"/>
                <w:szCs w:val="18"/>
                <w:i w:val="1"/>
                <w:iCs w:val="1"/>
                <w:color w:val="auto"/>
              </w:rPr>
              <w:t>3</w:t>
            </w:r>
          </w:p>
        </w:tc>
      </w:tr>
      <w:tr>
        <w:trPr>
          <w:trHeight w:val="236"/>
        </w:trPr>
        <w:tc>
          <w:tcPr>
            <w:tcW w:w="3960" w:type="dxa"/>
            <w:vAlign w:val="bottom"/>
          </w:tcPr>
          <w:p>
            <w:pPr>
              <w:spacing w:after="0"/>
              <w:rPr>
                <w:sz w:val="20"/>
                <w:szCs w:val="20"/>
                <w:color w:val="auto"/>
              </w:rPr>
            </w:pPr>
            <w:r>
              <w:rPr>
                <w:rFonts w:ascii="Arial" w:cs="Arial" w:eastAsia="Arial" w:hAnsi="Arial"/>
                <w:sz w:val="18"/>
                <w:szCs w:val="18"/>
                <w:i w:val="1"/>
                <w:iCs w:val="1"/>
                <w:color w:val="auto"/>
              </w:rPr>
              <w:t>Fiscal Year 2010</w:t>
            </w:r>
          </w:p>
        </w:tc>
        <w:tc>
          <w:tcPr>
            <w:tcW w:w="7460" w:type="dxa"/>
            <w:vAlign w:val="bottom"/>
          </w:tcPr>
          <w:p>
            <w:pPr>
              <w:jc w:val="right"/>
              <w:spacing w:after="0"/>
              <w:rPr>
                <w:sz w:val="20"/>
                <w:szCs w:val="20"/>
                <w:color w:val="auto"/>
              </w:rPr>
            </w:pPr>
            <w:r>
              <w:rPr>
                <w:rFonts w:ascii="Arial" w:cs="Arial" w:eastAsia="Arial" w:hAnsi="Arial"/>
                <w:sz w:val="18"/>
                <w:szCs w:val="18"/>
                <w:i w:val="1"/>
                <w:iCs w:val="1"/>
                <w:color w:val="auto"/>
              </w:rPr>
              <w:t>March 3, 2009</w:t>
            </w:r>
          </w:p>
        </w:tc>
      </w:tr>
    </w:tbl>
    <w:p>
      <w:pPr>
        <w:sectPr>
          <w:pgSz w:w="11900" w:h="16838" w:orient="portrait"/>
          <w:cols w:equalWidth="0" w:num="1">
            <w:col w:w="11420"/>
          </w:cols>
          <w:pgMar w:left="240" w:top="274" w:right="239" w:bottom="1440" w:gutter="0" w:footer="0" w:header="0"/>
        </w:sectPr>
      </w:pPr>
    </w:p>
    <w:bookmarkStart w:id="60" w:name="page61"/>
    <w:bookmarkEnd w:id="60"/>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who transfer to a non-eligible (i.e., sales) position during the Plan Year, and Participants who are on an approved leave of absence during the Plan Year, will be eligible to earn a prorated Bonus if they are still employed by Autodesk on the Bonus payout date. To the extent earned, any prorated Bonus will be paid on the regular Bonus payout date unless otherwise provided by Autodesk policy or applicable local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Incentive</w:t>
      </w:r>
    </w:p>
    <w:p>
      <w:pPr>
        <w:spacing w:after="0" w:line="9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order to calculate the pool of dollars available to be awarded as Bonuses under the AIP, every Participant is assigned a target incentive payout amount, which target is a percentage of the Participant’s annual base salary. That percentage is typically based on the Participant’s pay grade.</w:t>
      </w:r>
    </w:p>
    <w:p>
      <w:pPr>
        <w:spacing w:after="0" w:line="8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While a Participant’s target incentive payout amount may be a factor in the determination of his/her Bonus amount, the target incentive payout amount is used primarily to calculate the available base AIP funding pool (after application of the metrics as described below), and is not a commitment to pay a Participant any specific Bonus amount. Individual Bonus awards will be determined by management in its sole discretion, and an eligible Participant may receive a Bonus that is larger or smaller than his/her target incentive payout, or may receive no Bonus whatsoever.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Funding</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base AIP funding pool is determined by Autodesk in its sole discretion based upon the Company’s achievement of specific financial metrics, which achievement is then applied to the target incentive payouts of all the Plan participants to determine an initial base funding amount for the Plan (as reflected in the funding matrix described in the next paragraph). In light of the unpredictable economic circumstances facing the Company and the world, the Company may set the metrics for the first half of the Plan Year, and then may set new metrics for the second half of the Plan Year to reflect then current economic conditions.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The Autodesk Incentive Plan</w:t>
            </w:r>
          </w:p>
        </w:tc>
        <w:tc>
          <w:tcPr>
            <w:tcW w:w="7460" w:type="dxa"/>
            <w:vAlign w:val="bottom"/>
            <w:tcBorders>
              <w:top w:val="single" w:sz="8" w:color="auto"/>
            </w:tcBorders>
          </w:tcPr>
          <w:p>
            <w:pPr>
              <w:jc w:val="right"/>
              <w:ind w:right="5332"/>
              <w:spacing w:after="0"/>
              <w:rPr>
                <w:sz w:val="20"/>
                <w:szCs w:val="20"/>
                <w:color w:val="auto"/>
              </w:rPr>
            </w:pPr>
            <w:r>
              <w:rPr>
                <w:rFonts w:ascii="Arial" w:cs="Arial" w:eastAsia="Arial" w:hAnsi="Arial"/>
                <w:sz w:val="18"/>
                <w:szCs w:val="18"/>
                <w:i w:val="1"/>
                <w:iCs w:val="1"/>
                <w:color w:val="auto"/>
              </w:rPr>
              <w:t>4</w:t>
            </w:r>
          </w:p>
        </w:tc>
      </w:tr>
      <w:tr>
        <w:trPr>
          <w:trHeight w:val="236"/>
        </w:trPr>
        <w:tc>
          <w:tcPr>
            <w:tcW w:w="3960" w:type="dxa"/>
            <w:vAlign w:val="bottom"/>
          </w:tcPr>
          <w:p>
            <w:pPr>
              <w:spacing w:after="0"/>
              <w:rPr>
                <w:sz w:val="20"/>
                <w:szCs w:val="20"/>
                <w:color w:val="auto"/>
              </w:rPr>
            </w:pPr>
            <w:r>
              <w:rPr>
                <w:rFonts w:ascii="Arial" w:cs="Arial" w:eastAsia="Arial" w:hAnsi="Arial"/>
                <w:sz w:val="18"/>
                <w:szCs w:val="18"/>
                <w:i w:val="1"/>
                <w:iCs w:val="1"/>
                <w:color w:val="auto"/>
              </w:rPr>
              <w:t>Fiscal Year 2010</w:t>
            </w:r>
          </w:p>
        </w:tc>
        <w:tc>
          <w:tcPr>
            <w:tcW w:w="7460" w:type="dxa"/>
            <w:vAlign w:val="bottom"/>
          </w:tcPr>
          <w:p>
            <w:pPr>
              <w:jc w:val="right"/>
              <w:spacing w:after="0"/>
              <w:rPr>
                <w:sz w:val="20"/>
                <w:szCs w:val="20"/>
                <w:color w:val="auto"/>
              </w:rPr>
            </w:pPr>
            <w:r>
              <w:rPr>
                <w:rFonts w:ascii="Arial" w:cs="Arial" w:eastAsia="Arial" w:hAnsi="Arial"/>
                <w:sz w:val="18"/>
                <w:szCs w:val="18"/>
                <w:i w:val="1"/>
                <w:iCs w:val="1"/>
                <w:color w:val="auto"/>
              </w:rPr>
              <w:t>March 3, 2009</w:t>
            </w:r>
          </w:p>
        </w:tc>
      </w:tr>
    </w:tbl>
    <w:p>
      <w:pPr>
        <w:sectPr>
          <w:pgSz w:w="11900" w:h="16838" w:orient="portrait"/>
          <w:cols w:equalWidth="0" w:num="1">
            <w:col w:w="11420"/>
          </w:cols>
          <w:pgMar w:left="240" w:top="280" w:right="239" w:bottom="1440" w:gutter="0" w:footer="0" w:header="0"/>
        </w:sectPr>
      </w:pPr>
    </w:p>
    <w:bookmarkStart w:id="61" w:name="page62"/>
    <w:bookmarkEnd w:id="61"/>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or near the beginning of the Plan Year, the AIP funding matrix reflecting base funding amount achievement scenarios will be set for the first half of the year. At the end of this period, base funding will be determined based on the Company’s performance to financial metrics for the first half of the Plan Year. The same process will apply for the second half of the Plan Year. After combining the base funding amount for the two half year periods, discretionary multipliers based on the achievement or non-achievement of other goals (including non-financial goals) or growth initiatives may be applied to the aggregate base funding amount, causing an upward or downward adjustment of that amount. That adjusted amount will be the final AIP funding pool for the Plan Year.</w:t>
      </w:r>
    </w:p>
    <w:p>
      <w:pPr>
        <w:spacing w:after="0" w:line="116" w:lineRule="exact"/>
        <w:rPr>
          <w:sz w:val="20"/>
          <w:szCs w:val="20"/>
          <w:color w:val="auto"/>
        </w:rPr>
      </w:pPr>
    </w:p>
    <w:p>
      <w:pPr>
        <w:ind w:right="1180"/>
        <w:spacing w:after="0" w:line="332" w:lineRule="auto"/>
        <w:rPr>
          <w:sz w:val="20"/>
          <w:szCs w:val="20"/>
          <w:color w:val="auto"/>
        </w:rPr>
      </w:pPr>
      <w:r>
        <w:rPr>
          <w:rFonts w:ascii="Arial" w:cs="Arial" w:eastAsia="Arial" w:hAnsi="Arial"/>
          <w:sz w:val="16"/>
          <w:szCs w:val="16"/>
          <w:color w:val="auto"/>
        </w:rPr>
        <w:t>As soon as it is available, the AIP funding matrix may be viewed via the Autodesk Incentive Plan web pages located in the HR section of InfoSys (</w:t>
      </w:r>
      <w:r>
        <w:rPr>
          <w:rFonts w:ascii="Arial" w:cs="Arial" w:eastAsia="Arial" w:hAnsi="Arial"/>
          <w:sz w:val="16"/>
          <w:szCs w:val="16"/>
          <w:u w:val="single" w:color="auto"/>
          <w:color w:val="auto"/>
        </w:rPr>
        <w:t>http://hr.autodesk.com/aip/index.asp</w:t>
      </w:r>
      <w:r>
        <w:rPr>
          <w:rFonts w:ascii="Arial" w:cs="Arial" w:eastAsia="Arial" w:hAnsi="Arial"/>
          <w:sz w:val="16"/>
          <w:szCs w:val="16"/>
          <w:color w:val="auto"/>
        </w:rPr>
        <w:t>). The matrix may change during the Plan Year at the Company’s sole discretion.</w:t>
      </w:r>
    </w:p>
    <w:p>
      <w:pPr>
        <w:spacing w:after="0" w:line="8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Incentive payout amounts for Participants hired during the Plan Year will be pro-rated based on the actual number of calendar days they are active employees during the Plan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Bonus Awards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amount of a Participant’s Bonus, if any, is determined in management’s sole discretion, and may be more or less than the Participant’s target incentive payout. Individual Bonuses are determined based on a number of factors, including the eligible Participant’s individual performance and target incentive payout and the amount of the AIP funding pool.</w:t>
      </w:r>
    </w:p>
    <w:p>
      <w:pPr>
        <w:spacing w:after="0" w:line="14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Individual Bonuses are recommended by the appropriate manager and reviewed/adjusted by the appropriate SVP/EVP. Those recommendations are then forwarded to the SVP of Human Resources and the CEO for review/adjustment and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The Autodesk Incentive Plan</w:t>
            </w:r>
          </w:p>
        </w:tc>
        <w:tc>
          <w:tcPr>
            <w:tcW w:w="7460" w:type="dxa"/>
            <w:vAlign w:val="bottom"/>
            <w:tcBorders>
              <w:top w:val="single" w:sz="8" w:color="auto"/>
            </w:tcBorders>
          </w:tcPr>
          <w:p>
            <w:pPr>
              <w:jc w:val="right"/>
              <w:ind w:right="5332"/>
              <w:spacing w:after="0"/>
              <w:rPr>
                <w:sz w:val="20"/>
                <w:szCs w:val="20"/>
                <w:color w:val="auto"/>
              </w:rPr>
            </w:pPr>
            <w:r>
              <w:rPr>
                <w:rFonts w:ascii="Arial" w:cs="Arial" w:eastAsia="Arial" w:hAnsi="Arial"/>
                <w:sz w:val="18"/>
                <w:szCs w:val="18"/>
                <w:i w:val="1"/>
                <w:iCs w:val="1"/>
                <w:color w:val="auto"/>
              </w:rPr>
              <w:t>5</w:t>
            </w:r>
          </w:p>
        </w:tc>
      </w:tr>
      <w:tr>
        <w:trPr>
          <w:trHeight w:val="236"/>
        </w:trPr>
        <w:tc>
          <w:tcPr>
            <w:tcW w:w="3960" w:type="dxa"/>
            <w:vAlign w:val="bottom"/>
          </w:tcPr>
          <w:p>
            <w:pPr>
              <w:spacing w:after="0"/>
              <w:rPr>
                <w:sz w:val="20"/>
                <w:szCs w:val="20"/>
                <w:color w:val="auto"/>
              </w:rPr>
            </w:pPr>
            <w:r>
              <w:rPr>
                <w:rFonts w:ascii="Arial" w:cs="Arial" w:eastAsia="Arial" w:hAnsi="Arial"/>
                <w:sz w:val="18"/>
                <w:szCs w:val="18"/>
                <w:i w:val="1"/>
                <w:iCs w:val="1"/>
                <w:color w:val="auto"/>
              </w:rPr>
              <w:t>Fiscal Year 2010</w:t>
            </w:r>
          </w:p>
        </w:tc>
        <w:tc>
          <w:tcPr>
            <w:tcW w:w="7460" w:type="dxa"/>
            <w:vAlign w:val="bottom"/>
          </w:tcPr>
          <w:p>
            <w:pPr>
              <w:jc w:val="right"/>
              <w:spacing w:after="0"/>
              <w:rPr>
                <w:sz w:val="20"/>
                <w:szCs w:val="20"/>
                <w:color w:val="auto"/>
              </w:rPr>
            </w:pPr>
            <w:r>
              <w:rPr>
                <w:rFonts w:ascii="Arial" w:cs="Arial" w:eastAsia="Arial" w:hAnsi="Arial"/>
                <w:sz w:val="18"/>
                <w:szCs w:val="18"/>
                <w:i w:val="1"/>
                <w:iCs w:val="1"/>
                <w:color w:val="auto"/>
              </w:rPr>
              <w:t>March 3, 2009</w:t>
            </w:r>
          </w:p>
        </w:tc>
      </w:tr>
    </w:tbl>
    <w:p>
      <w:pPr>
        <w:sectPr>
          <w:pgSz w:w="11900" w:h="16838" w:orient="portrait"/>
          <w:cols w:equalWidth="0" w:num="1">
            <w:col w:w="11420"/>
          </w:cols>
          <w:pgMar w:left="240" w:top="280" w:right="239" w:bottom="1440" w:gutter="0" w:footer="0" w:header="0"/>
        </w:sectPr>
      </w:pPr>
    </w:p>
    <w:bookmarkStart w:id="62" w:name="page63"/>
    <w:bookmarkEnd w:id="62"/>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approval</w:t>
      </w:r>
      <w:r>
        <w:rPr>
          <w:rFonts w:ascii="Arial" w:cs="Arial" w:eastAsia="Arial" w:hAnsi="Arial"/>
          <w:sz w:val="11"/>
          <w:szCs w:val="11"/>
          <w:color w:val="auto"/>
        </w:rPr>
        <w:t>1</w:t>
      </w:r>
      <w:r>
        <w:rPr>
          <w:rFonts w:ascii="Arial" w:cs="Arial" w:eastAsia="Arial" w:hAnsi="Arial"/>
          <w:sz w:val="18"/>
          <w:szCs w:val="18"/>
          <w:color w:val="auto"/>
        </w:rPr>
        <w:t xml:space="preserve"> . Director level and above Bonuses may be adjusted to ensure equity with Bonuses awarded to other Participants in the Company at similar levels with similar performance.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Payout Schedule</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Bonuses are paid after the end of the Plan Year, typically in April. However, mid-year Bonus “advances” may be paid, based on Company financial results and other appropriate factors, at the discretion of the Company. If mid-year Bonus advances are paid, they will be applied toward any end of year Bonuses.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Questions about the Plan may be raised with the Participant’s manager, HR Business Partner and/or anyone on the HR Compensation team. In the case of any dispute or question, the SVP of Human Resources will interpret the provisions of this Plan and rule on situations not specifically covered in the Plan. The SVP of Human Resources must review and approve in writing any exceptions to this Plan, including any individual award guarantees made at the time of an employment offer or otherwise. To the extent any provision of the Plan is inconsistent with any local law, such provision shall be interpreted in that locality in a manner consistent with local law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Changes/Employment Status</w:t>
      </w:r>
    </w:p>
    <w:p>
      <w:pPr>
        <w:spacing w:after="0" w:line="9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Autodesk reserves the right to revise, alter, amend, or terminate the Plan at any time before, during, or after the Plan Year for any reason to the fullest extent allowed by applicable law. The Plan does not constitute a contract of employment and does not in any way alter the “at-will” status of any Participant’s employment with Autodesk.</w:t>
      </w:r>
    </w:p>
    <w:p>
      <w:pPr>
        <w:spacing w:after="0" w:line="329" w:lineRule="exact"/>
        <w:rPr>
          <w:sz w:val="20"/>
          <w:szCs w:val="20"/>
          <w:color w:val="auto"/>
        </w:rPr>
      </w:pPr>
    </w:p>
    <w:p>
      <w:pPr>
        <w:ind w:left="220" w:right="160" w:hanging="212"/>
        <w:spacing w:after="0" w:line="228" w:lineRule="auto"/>
        <w:tabs>
          <w:tab w:leader="none" w:pos="22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In the case of Executive Staff Members who are eligible for a Bonus under this Plan, the Compensation Committee of the Board of Directors will review and approve the recommended Bonus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The Autodesk Incentive Plan</w:t>
            </w:r>
          </w:p>
        </w:tc>
        <w:tc>
          <w:tcPr>
            <w:tcW w:w="7460" w:type="dxa"/>
            <w:vAlign w:val="bottom"/>
            <w:tcBorders>
              <w:top w:val="single" w:sz="8" w:color="auto"/>
            </w:tcBorders>
          </w:tcPr>
          <w:p>
            <w:pPr>
              <w:jc w:val="right"/>
              <w:ind w:right="5332"/>
              <w:spacing w:after="0"/>
              <w:rPr>
                <w:sz w:val="20"/>
                <w:szCs w:val="20"/>
                <w:color w:val="auto"/>
              </w:rPr>
            </w:pPr>
            <w:r>
              <w:rPr>
                <w:rFonts w:ascii="Arial" w:cs="Arial" w:eastAsia="Arial" w:hAnsi="Arial"/>
                <w:sz w:val="18"/>
                <w:szCs w:val="18"/>
                <w:i w:val="1"/>
                <w:iCs w:val="1"/>
                <w:color w:val="auto"/>
              </w:rPr>
              <w:t>6</w:t>
            </w:r>
          </w:p>
        </w:tc>
      </w:tr>
      <w:tr>
        <w:trPr>
          <w:trHeight w:val="236"/>
        </w:trPr>
        <w:tc>
          <w:tcPr>
            <w:tcW w:w="3960" w:type="dxa"/>
            <w:vAlign w:val="bottom"/>
          </w:tcPr>
          <w:p>
            <w:pPr>
              <w:spacing w:after="0"/>
              <w:rPr>
                <w:sz w:val="20"/>
                <w:szCs w:val="20"/>
                <w:color w:val="auto"/>
              </w:rPr>
            </w:pPr>
            <w:r>
              <w:rPr>
                <w:rFonts w:ascii="Arial" w:cs="Arial" w:eastAsia="Arial" w:hAnsi="Arial"/>
                <w:sz w:val="18"/>
                <w:szCs w:val="18"/>
                <w:i w:val="1"/>
                <w:iCs w:val="1"/>
                <w:color w:val="auto"/>
              </w:rPr>
              <w:t>Fiscal Year 2010</w:t>
            </w:r>
          </w:p>
        </w:tc>
        <w:tc>
          <w:tcPr>
            <w:tcW w:w="7460" w:type="dxa"/>
            <w:vAlign w:val="bottom"/>
          </w:tcPr>
          <w:p>
            <w:pPr>
              <w:jc w:val="right"/>
              <w:spacing w:after="0"/>
              <w:rPr>
                <w:sz w:val="20"/>
                <w:szCs w:val="20"/>
                <w:color w:val="auto"/>
              </w:rPr>
            </w:pPr>
            <w:r>
              <w:rPr>
                <w:rFonts w:ascii="Arial" w:cs="Arial" w:eastAsia="Arial" w:hAnsi="Arial"/>
                <w:sz w:val="18"/>
                <w:szCs w:val="18"/>
                <w:i w:val="1"/>
                <w:iCs w:val="1"/>
                <w:color w:val="auto"/>
              </w:rPr>
              <w:t>March 3, 2009</w:t>
            </w:r>
          </w:p>
        </w:tc>
      </w:tr>
    </w:tbl>
    <w:p>
      <w:pPr>
        <w:sectPr>
          <w:pgSz w:w="11900" w:h="16838" w:orient="portrait"/>
          <w:cols w:equalWidth="0" w:num="1">
            <w:col w:w="11420"/>
          </w:cols>
          <w:pgMar w:left="240" w:top="2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9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28, 2009</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9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28, 2009</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July 31, 2009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August 28, 2009</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Based on my knowledge, I, Mark J. Hawkins, certify, pursuant to 18 U.S.C. Section 1350, as adopted pursuant to Section 906 of the Sarbanes-Oxley Act of 2002, that the Quarterly Report of Autodesk, Inc. on Form 10-Q for the quarterly period ended July 31, 2009 fully complies with the requirements of</w:t>
      </w:r>
    </w:p>
    <w:p>
      <w:pPr>
        <w:ind w:right="540"/>
        <w:spacing w:after="0" w:line="261" w:lineRule="auto"/>
        <w:rPr>
          <w:sz w:val="20"/>
          <w:szCs w:val="20"/>
          <w:color w:val="auto"/>
        </w:rPr>
      </w:pPr>
      <w:r>
        <w:rPr>
          <w:rFonts w:ascii="Arial" w:cs="Arial" w:eastAsia="Arial" w:hAnsi="Arial"/>
          <w:sz w:val="18"/>
          <w:szCs w:val="18"/>
          <w:color w:val="auto"/>
        </w:rPr>
        <w:t>Section 13(a) or 15(d) of the Securities Exchange Act of 1934 and that information contained in such Form 10-Q fairly presents in all material respects the financial condition and results of operations of Autodesk, Inc.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August 28, 2009</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6"/>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7"/>
    </w:lvl>
  </w:abstractNum>
  <w:abstractNum w:abstractNumId="14">
    <w:nsid w:val="75A2A8D4"/>
    <w:multiLevelType w:val="hybridMultilevel"/>
    <w:lvl w:ilvl="0">
      <w:lvlJc w:val="left"/>
      <w:lvlText w:val="%1."/>
      <w:numFmt w:val="decimal"/>
      <w:start w:val="8"/>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9"/>
    </w:lvl>
  </w:abstractNum>
  <w:abstractNum w:abstractNumId="17">
    <w:nsid w:val="4353D0CD"/>
    <w:multiLevelType w:val="hybridMultilevel"/>
    <w:lvl w:ilvl="0">
      <w:lvlJc w:val="left"/>
      <w:lvlText w:val="%1."/>
      <w:numFmt w:val="decimal"/>
      <w:start w:val="10"/>
    </w:lvl>
  </w:abstractNum>
  <w:abstractNum w:abstractNumId="18">
    <w:nsid w:val="B03E0C6"/>
    <w:multiLevelType w:val="hybridMultilevel"/>
    <w:lvl w:ilvl="0">
      <w:lvlJc w:val="left"/>
      <w:lvlText w:val="%1."/>
      <w:numFmt w:val="decimal"/>
      <w:start w:val="11"/>
    </w:lvl>
  </w:abstractNum>
  <w:abstractNum w:abstractNumId="19">
    <w:nsid w:val="189A769B"/>
    <w:multiLevelType w:val="hybridMultilevel"/>
    <w:lvl w:ilvl="0">
      <w:lvlJc w:val="left"/>
      <w:lvlText w:val="%1."/>
      <w:numFmt w:val="decimal"/>
      <w:start w:val="12"/>
    </w:lvl>
  </w:abstractNum>
  <w:abstractNum w:abstractNumId="20">
    <w:nsid w:val="54E49EB4"/>
    <w:multiLevelType w:val="hybridMultilevel"/>
    <w:lvl w:ilvl="0">
      <w:lvlJc w:val="left"/>
      <w:lvlText w:val="%1."/>
      <w:numFmt w:val="decimal"/>
      <w:start w:val="13"/>
    </w:lvl>
  </w:abstractNum>
  <w:abstractNum w:abstractNumId="21">
    <w:nsid w:val="71F32454"/>
    <w:multiLevelType w:val="hybridMultilevel"/>
    <w:lvl w:ilvl="0">
      <w:lvlJc w:val="left"/>
      <w:lvlText w:val="%1."/>
      <w:numFmt w:val="decimal"/>
      <w:start w:val="14"/>
    </w:lvl>
  </w:abstractNum>
  <w:abstractNum w:abstractNumId="22">
    <w:nsid w:val="2CA88611"/>
    <w:multiLevelType w:val="hybridMultilevel"/>
    <w:lvl w:ilvl="0">
      <w:lvlJc w:val="left"/>
      <w:lvlText w:val="%1."/>
      <w:numFmt w:val="decimal"/>
      <w:start w:val="15"/>
    </w:lvl>
  </w:abstractNum>
  <w:abstractNum w:abstractNumId="23">
    <w:nsid w:val="836C40E"/>
    <w:multiLevelType w:val="hybridMultilevel"/>
    <w:lvl w:ilvl="0">
      <w:lvlJc w:val="left"/>
      <w:lvlText w:val="%1."/>
      <w:numFmt w:val="decimal"/>
      <w:start w:val="16"/>
    </w:lvl>
  </w:abstractNum>
  <w:abstractNum w:abstractNumId="24">
    <w:nsid w:val="2901D82"/>
    <w:multiLevelType w:val="hybridMultilevel"/>
    <w:lvl w:ilvl="0">
      <w:lvlJc w:val="left"/>
      <w:lvlText w:val="%1."/>
      <w:numFmt w:val="decimal"/>
      <w:start w:val="17"/>
    </w:lvl>
  </w:abstractNum>
  <w:abstractNum w:abstractNumId="25">
    <w:nsid w:val="3A95F874"/>
    <w:multiLevelType w:val="hybridMultilevel"/>
    <w:lvl w:ilvl="0">
      <w:lvlJc w:val="left"/>
      <w:lvlText w:val="%1."/>
      <w:numFmt w:val="decimal"/>
      <w:start w:val="18"/>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2019-12-10T05:23:44Z</dcterms:created>
  <dcterms:modified xsi:type="dcterms:W3CDTF">2019-12-10T05:23:44Z</dcterms:modified>
</cp:coreProperties>
</file>