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4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October 31,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3"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8" w:lineRule="exact"/>
        <w:rPr>
          <w:sz w:val="24"/>
          <w:szCs w:val="24"/>
          <w:color w:val="auto"/>
        </w:rPr>
      </w:pPr>
    </w:p>
    <w:p>
      <w:pPr>
        <w:ind w:left="4060"/>
        <w:spacing w:after="0"/>
        <w:rPr>
          <w:sz w:val="20"/>
          <w:szCs w:val="20"/>
          <w:color w:val="auto"/>
        </w:rPr>
      </w:pPr>
      <w:r>
        <w:rPr>
          <w:rFonts w:ascii="Arial" w:cs="Arial" w:eastAsia="Arial" w:hAnsi="Arial"/>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4"/>
          <w:szCs w:val="14"/>
          <w:color w:val="auto"/>
        </w:rPr>
        <w:t>to</w:t>
      </w:r>
    </w:p>
    <w:p>
      <w:pPr>
        <w:spacing w:after="0" w:line="216" w:lineRule="exact"/>
        <w:rPr>
          <w:sz w:val="24"/>
          <w:szCs w:val="24"/>
          <w:color w:val="auto"/>
        </w:rPr>
      </w:pPr>
    </w:p>
    <w:p>
      <w:pPr>
        <w:sectPr>
          <w:pgSz w:w="11900" w:h="16838" w:orient="portrait"/>
          <w:cols w:equalWidth="0" w:num="2">
            <w:col w:w="6140" w:space="580"/>
            <w:col w:w="47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Commission File Number: 0-14338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54" w:lineRule="exact"/>
        <w:rPr>
          <w:sz w:val="24"/>
          <w:szCs w:val="24"/>
          <w:color w:val="auto"/>
        </w:rPr>
      </w:pPr>
    </w:p>
    <w:tbl>
      <w:tblPr>
        <w:tblLayout w:type="fixed"/>
        <w:tblInd w:w="1740" w:type="dxa"/>
        <w:tblCellMar>
          <w:top w:w="0" w:type="dxa"/>
          <w:left w:w="0" w:type="dxa"/>
          <w:bottom w:w="0" w:type="dxa"/>
          <w:right w:w="0" w:type="dxa"/>
        </w:tblCellMar>
      </w:tblPr>
      <w:tr>
        <w:trPr>
          <w:trHeight w:val="530"/>
        </w:trPr>
        <w:tc>
          <w:tcPr>
            <w:tcW w:w="6080" w:type="dxa"/>
            <w:vAlign w:val="bottom"/>
          </w:tcPr>
          <w:p>
            <w:pPr>
              <w:jc w:val="center"/>
              <w:ind w:left="1767"/>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74"/>
        </w:trPr>
        <w:tc>
          <w:tcPr>
            <w:tcW w:w="6080" w:type="dxa"/>
            <w:vAlign w:val="bottom"/>
          </w:tcPr>
          <w:p>
            <w:pPr>
              <w:jc w:val="center"/>
              <w:ind w:left="1767"/>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400" w:type="dxa"/>
            <w:vAlign w:val="bottom"/>
          </w:tcPr>
          <w:p>
            <w:pPr>
              <w:spacing w:after="0"/>
              <w:rPr>
                <w:sz w:val="15"/>
                <w:szCs w:val="15"/>
                <w:color w:val="auto"/>
              </w:rPr>
            </w:pPr>
          </w:p>
        </w:tc>
      </w:tr>
      <w:tr>
        <w:trPr>
          <w:trHeight w:val="393"/>
        </w:trPr>
        <w:tc>
          <w:tcPr>
            <w:tcW w:w="6080" w:type="dxa"/>
            <w:vAlign w:val="bottom"/>
          </w:tcPr>
          <w:p>
            <w:pPr>
              <w:jc w:val="center"/>
              <w:ind w:right="3727"/>
              <w:spacing w:after="0"/>
              <w:rPr>
                <w:sz w:val="20"/>
                <w:szCs w:val="20"/>
                <w:color w:val="auto"/>
              </w:rPr>
            </w:pPr>
            <w:r>
              <w:rPr>
                <w:rFonts w:ascii="Arial" w:cs="Arial" w:eastAsia="Arial" w:hAnsi="Arial"/>
                <w:sz w:val="18"/>
                <w:szCs w:val="18"/>
                <w:b w:val="1"/>
                <w:bCs w:val="1"/>
                <w:color w:val="auto"/>
                <w:w w:val="88"/>
              </w:rPr>
              <w:t>Delaware</w:t>
            </w:r>
          </w:p>
        </w:tc>
        <w:tc>
          <w:tcPr>
            <w:tcW w:w="1400" w:type="dxa"/>
            <w:vAlign w:val="bottom"/>
          </w:tcPr>
          <w:p>
            <w:pPr>
              <w:jc w:val="right"/>
              <w:ind w:right="44"/>
              <w:spacing w:after="0"/>
              <w:rPr>
                <w:sz w:val="20"/>
                <w:szCs w:val="20"/>
                <w:color w:val="auto"/>
              </w:rPr>
            </w:pPr>
            <w:r>
              <w:rPr>
                <w:rFonts w:ascii="Arial" w:cs="Arial" w:eastAsia="Arial" w:hAnsi="Arial"/>
                <w:sz w:val="18"/>
                <w:szCs w:val="18"/>
                <w:b w:val="1"/>
                <w:bCs w:val="1"/>
                <w:color w:val="auto"/>
              </w:rPr>
              <w:t>94-2819853</w:t>
            </w:r>
          </w:p>
        </w:tc>
      </w:tr>
      <w:tr>
        <w:trPr>
          <w:trHeight w:val="149"/>
        </w:trPr>
        <w:tc>
          <w:tcPr>
            <w:tcW w:w="6080" w:type="dxa"/>
            <w:vAlign w:val="bottom"/>
          </w:tcPr>
          <w:p>
            <w:pPr>
              <w:jc w:val="center"/>
              <w:ind w:right="3747"/>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40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6080" w:type="dxa"/>
            <w:vAlign w:val="bottom"/>
          </w:tcPr>
          <w:p>
            <w:pPr>
              <w:jc w:val="center"/>
              <w:ind w:right="3747"/>
              <w:spacing w:after="0"/>
              <w:rPr>
                <w:sz w:val="20"/>
                <w:szCs w:val="20"/>
                <w:color w:val="auto"/>
              </w:rPr>
            </w:pPr>
            <w:r>
              <w:rPr>
                <w:rFonts w:ascii="Arial" w:cs="Arial" w:eastAsia="Arial" w:hAnsi="Arial"/>
                <w:sz w:val="14"/>
                <w:szCs w:val="14"/>
                <w:b w:val="1"/>
                <w:bCs w:val="1"/>
                <w:color w:val="auto"/>
                <w:w w:val="88"/>
              </w:rPr>
              <w:t>incorporation or organization)</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080" w:type="dxa"/>
            <w:vAlign w:val="bottom"/>
          </w:tcPr>
          <w:p>
            <w:pPr>
              <w:jc w:val="center"/>
              <w:ind w:right="3727"/>
              <w:spacing w:after="0"/>
              <w:rPr>
                <w:sz w:val="20"/>
                <w:szCs w:val="20"/>
                <w:color w:val="auto"/>
              </w:rPr>
            </w:pPr>
            <w:r>
              <w:rPr>
                <w:rFonts w:ascii="Arial" w:cs="Arial" w:eastAsia="Arial" w:hAnsi="Arial"/>
                <w:sz w:val="18"/>
                <w:szCs w:val="18"/>
                <w:b w:val="1"/>
                <w:bCs w:val="1"/>
                <w:color w:val="auto"/>
                <w:w w:val="89"/>
              </w:rPr>
              <w:t>111 McInnis Parkway,</w:t>
            </w:r>
          </w:p>
        </w:tc>
        <w:tc>
          <w:tcPr>
            <w:tcW w:w="1400" w:type="dxa"/>
            <w:vAlign w:val="bottom"/>
          </w:tcPr>
          <w:p>
            <w:pPr>
              <w:spacing w:after="0"/>
              <w:rPr>
                <w:sz w:val="24"/>
                <w:szCs w:val="24"/>
                <w:color w:val="auto"/>
              </w:rPr>
            </w:pPr>
          </w:p>
        </w:tc>
      </w:tr>
      <w:tr>
        <w:trPr>
          <w:trHeight w:val="231"/>
        </w:trPr>
        <w:tc>
          <w:tcPr>
            <w:tcW w:w="6080" w:type="dxa"/>
            <w:vAlign w:val="bottom"/>
          </w:tcPr>
          <w:p>
            <w:pPr>
              <w:jc w:val="center"/>
              <w:ind w:right="3747"/>
              <w:spacing w:after="0"/>
              <w:rPr>
                <w:sz w:val="20"/>
                <w:szCs w:val="20"/>
                <w:color w:val="auto"/>
              </w:rPr>
            </w:pPr>
            <w:r>
              <w:rPr>
                <w:rFonts w:ascii="Arial" w:cs="Arial" w:eastAsia="Arial" w:hAnsi="Arial"/>
                <w:sz w:val="18"/>
                <w:szCs w:val="18"/>
                <w:b w:val="1"/>
                <w:bCs w:val="1"/>
                <w:color w:val="auto"/>
                <w:w w:val="90"/>
              </w:rPr>
              <w:t>San Rafael, California</w:t>
            </w:r>
          </w:p>
        </w:tc>
        <w:tc>
          <w:tcPr>
            <w:tcW w:w="1400" w:type="dxa"/>
            <w:vAlign w:val="bottom"/>
          </w:tcPr>
          <w:p>
            <w:pPr>
              <w:jc w:val="right"/>
              <w:ind w:right="244"/>
              <w:spacing w:after="0"/>
              <w:rPr>
                <w:sz w:val="20"/>
                <w:szCs w:val="20"/>
                <w:color w:val="auto"/>
              </w:rPr>
            </w:pPr>
            <w:r>
              <w:rPr>
                <w:rFonts w:ascii="Arial" w:cs="Arial" w:eastAsia="Arial" w:hAnsi="Arial"/>
                <w:sz w:val="18"/>
                <w:szCs w:val="18"/>
                <w:b w:val="1"/>
                <w:bCs w:val="1"/>
                <w:color w:val="auto"/>
              </w:rPr>
              <w:t>94903</w:t>
            </w:r>
          </w:p>
        </w:tc>
      </w:tr>
      <w:tr>
        <w:trPr>
          <w:trHeight w:val="174"/>
        </w:trPr>
        <w:tc>
          <w:tcPr>
            <w:tcW w:w="6080" w:type="dxa"/>
            <w:vAlign w:val="bottom"/>
          </w:tcPr>
          <w:p>
            <w:pPr>
              <w:jc w:val="center"/>
              <w:ind w:right="3747"/>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6080" w:type="dxa"/>
            <w:vAlign w:val="bottom"/>
          </w:tcPr>
          <w:p>
            <w:pPr>
              <w:jc w:val="center"/>
              <w:ind w:left="1767"/>
              <w:spacing w:after="0"/>
              <w:rPr>
                <w:sz w:val="20"/>
                <w:szCs w:val="20"/>
                <w:color w:val="auto"/>
              </w:rPr>
            </w:pPr>
            <w:r>
              <w:rPr>
                <w:rFonts w:ascii="Arial" w:cs="Arial" w:eastAsia="Arial" w:hAnsi="Arial"/>
                <w:sz w:val="18"/>
                <w:szCs w:val="18"/>
                <w:b w:val="1"/>
                <w:bCs w:val="1"/>
                <w:color w:val="auto"/>
                <w:w w:val="89"/>
              </w:rPr>
              <w:t>(415) 507-5000</w:t>
            </w:r>
          </w:p>
        </w:tc>
        <w:tc>
          <w:tcPr>
            <w:tcW w:w="140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7340" w:space="720"/>
            <w:col w:w="1180" w:space="10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00" w:space="420"/>
            <w:col w:w="6580" w:space="720"/>
            <w:col w:w="1940" w:space="100"/>
            <w:col w:w="160"/>
          </w:cols>
          <w:pgMar w:left="240" w:top="230" w:right="239" w:bottom="1440" w:gutter="0" w:footer="0" w:header="0"/>
          <w:type w:val="continuous"/>
        </w:sectPr>
      </w:pPr>
    </w:p>
    <w:p>
      <w:pPr>
        <w:ind w:left="460" w:right="1980"/>
        <w:spacing w:after="0" w:line="316"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30, 2011, registrant had outstanding approximately 226,800,000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AUTODESK, INC. FORM 10-Q</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gridSpan w:val="9"/>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580" w:type="dxa"/>
            <w:vAlign w:val="bottom"/>
            <w:gridSpan w:val="2"/>
            <w:vMerge w:val="restart"/>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Page No.</w:t>
            </w: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0" w:type="dxa"/>
            <w:vAlign w:val="bottom"/>
            <w:tcBorders>
              <w:bottom w:val="single" w:sz="8" w:color="0000EE"/>
            </w:tcBorders>
            <w:gridSpan w:val="9"/>
            <w:vMerge w:val="continue"/>
          </w:tcPr>
          <w:p>
            <w:pPr>
              <w:spacing w:after="0"/>
              <w:rPr>
                <w:sz w:val="13"/>
                <w:szCs w:val="13"/>
                <w:color w:val="auto"/>
              </w:rPr>
            </w:pPr>
          </w:p>
        </w:tc>
        <w:tc>
          <w:tcPr>
            <w:tcW w:w="358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640" w:type="dxa"/>
            <w:vAlign w:val="bottom"/>
            <w:tcBorders>
              <w:bottom w:val="single" w:sz="8" w:color="0000EE"/>
            </w:tcBorders>
            <w:gridSpan w:val="7"/>
          </w:tcPr>
          <w:p>
            <w:pPr>
              <w:spacing w:after="0"/>
              <w:rPr>
                <w:rFonts w:ascii="Arial" w:cs="Arial" w:eastAsia="Arial" w:hAnsi="Arial"/>
                <w:sz w:val="18"/>
                <w:szCs w:val="18"/>
                <w:b w:val="1"/>
                <w:bCs w:val="1"/>
                <w:color w:val="0000EE"/>
                <w:w w:val="87"/>
              </w:rPr>
            </w:pPr>
            <w:hyperlink w:anchor="page3">
              <w:r>
                <w:rPr>
                  <w:rFonts w:ascii="Arial" w:cs="Arial" w:eastAsia="Arial" w:hAnsi="Arial"/>
                  <w:sz w:val="18"/>
                  <w:szCs w:val="18"/>
                  <w:b w:val="1"/>
                  <w:bCs w:val="1"/>
                  <w:color w:val="0000EE"/>
                  <w:w w:val="87"/>
                </w:rPr>
                <w:t>Financial Statements:</w:t>
              </w:r>
            </w:hyperlink>
          </w:p>
        </w:tc>
        <w:tc>
          <w:tcPr>
            <w:tcW w:w="8080" w:type="dxa"/>
            <w:vAlign w:val="bottom"/>
            <w:gridSpan w:val="17"/>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358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Statements of Operations</w:t>
              </w:r>
            </w:hyperlink>
          </w:p>
        </w:tc>
        <w:tc>
          <w:tcPr>
            <w:tcW w:w="6140" w:type="dxa"/>
            <w:vAlign w:val="bottom"/>
            <w:gridSpan w:val="9"/>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Three and Nine Months Ended October 31, 2011 and 2010</w:t>
              </w:r>
            </w:hyperlink>
          </w:p>
        </w:tc>
        <w:tc>
          <w:tcPr>
            <w:tcW w:w="538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972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October 31, 2011 and January 31, 2011</w:t>
              </w:r>
            </w:hyperlink>
          </w:p>
        </w:tc>
        <w:tc>
          <w:tcPr>
            <w:tcW w:w="674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9720" w:type="dxa"/>
            <w:vAlign w:val="bottom"/>
            <w:gridSpan w:val="2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0" w:type="dxa"/>
            <w:vAlign w:val="bottom"/>
            <w:tcBorders>
              <w:top w:val="single" w:sz="8" w:color="0000EE"/>
            </w:tcBorders>
            <w:gridSpan w:val="15"/>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Nine Months Ended October 31, 2011 and 2010</w:t>
              </w:r>
            </w:hyperlink>
          </w:p>
        </w:tc>
        <w:tc>
          <w:tcPr>
            <w:tcW w:w="610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3900" w:type="dxa"/>
            <w:vAlign w:val="bottom"/>
            <w:tcBorders>
              <w:bottom w:val="single" w:sz="8" w:color="0000EE"/>
            </w:tcBorders>
            <w:gridSpan w:val="17"/>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582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720" w:type="dxa"/>
            <w:vAlign w:val="bottom"/>
            <w:gridSpan w:val="24"/>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tcBorders>
              <w:top w:val="single" w:sz="8" w:color="0000EE"/>
              <w:bottom w:val="single" w:sz="8" w:color="0000EE"/>
            </w:tcBorders>
            <w:gridSpan w:val="20"/>
          </w:tcPr>
          <w:p>
            <w:pPr>
              <w:spacing w:after="0"/>
              <w:rPr>
                <w:rFonts w:ascii="Arial" w:cs="Arial" w:eastAsia="Arial" w:hAnsi="Arial"/>
                <w:sz w:val="18"/>
                <w:szCs w:val="18"/>
                <w:b w:val="1"/>
                <w:bCs w:val="1"/>
                <w:color w:val="0000EE"/>
                <w:w w:val="89"/>
              </w:rPr>
            </w:pPr>
            <w:hyperlink w:anchor="page44">
              <w:r>
                <w:rPr>
                  <w:rFonts w:ascii="Arial" w:cs="Arial" w:eastAsia="Arial" w:hAnsi="Arial"/>
                  <w:sz w:val="18"/>
                  <w:szCs w:val="18"/>
                  <w:b w:val="1"/>
                  <w:bCs w:val="1"/>
                  <w:color w:val="0000EE"/>
                  <w:w w:val="89"/>
                </w:rPr>
                <w:t>Quantitative and Qualitative Disclosures About Market Risk</w:t>
              </w:r>
            </w:hyperlink>
          </w:p>
        </w:tc>
        <w:tc>
          <w:tcPr>
            <w:tcW w:w="2100" w:type="dxa"/>
            <w:vAlign w:val="bottom"/>
            <w:tcBorders>
              <w:top w:val="single" w:sz="8" w:color="0000EE"/>
            </w:tcBorders>
            <w:gridSpan w:val="3"/>
          </w:tcPr>
          <w:p>
            <w:pPr>
              <w:spacing w:after="0"/>
              <w:rPr>
                <w:sz w:val="24"/>
                <w:szCs w:val="24"/>
                <w:color w:val="auto"/>
              </w:rPr>
            </w:pPr>
          </w:p>
        </w:tc>
        <w:tc>
          <w:tcPr>
            <w:tcW w:w="30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720" w:type="dxa"/>
            <w:vAlign w:val="bottom"/>
            <w:gridSpan w:val="24"/>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 OTHER INFORMATION</w:t>
              </w:r>
            </w:hyperlink>
          </w:p>
        </w:tc>
        <w:tc>
          <w:tcPr>
            <w:tcW w:w="372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720" w:type="dxa"/>
            <w:vAlign w:val="bottom"/>
            <w:gridSpan w:val="24"/>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Legal Proceedings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6"/>
              </w:rPr>
            </w:pPr>
            <w:hyperlink w:anchor="page46">
              <w:r>
                <w:rPr>
                  <w:rFonts w:ascii="Arial" w:cs="Arial" w:eastAsia="Arial" w:hAnsi="Arial"/>
                  <w:sz w:val="18"/>
                  <w:szCs w:val="18"/>
                  <w:b w:val="1"/>
                  <w:bCs w:val="1"/>
                  <w:color w:val="0000EE"/>
                  <w:w w:val="86"/>
                </w:rPr>
                <w:t>Risk Factors</w:t>
              </w:r>
            </w:hyperlink>
          </w:p>
        </w:tc>
        <w:tc>
          <w:tcPr>
            <w:tcW w:w="400" w:type="dxa"/>
            <w:vAlign w:val="bottom"/>
            <w:tcBorders>
              <w:top w:val="single" w:sz="8" w:color="0000EE"/>
            </w:tcBorders>
          </w:tcPr>
          <w:p>
            <w:pPr>
              <w:spacing w:after="0"/>
              <w:rPr>
                <w:sz w:val="24"/>
                <w:szCs w:val="24"/>
                <w:color w:val="auto"/>
              </w:rPr>
            </w:pPr>
          </w:p>
        </w:tc>
        <w:tc>
          <w:tcPr>
            <w:tcW w:w="8360" w:type="dxa"/>
            <w:vAlign w:val="bottom"/>
            <w:gridSpan w:val="1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460" w:type="dxa"/>
            <w:vAlign w:val="bottom"/>
            <w:tcBorders>
              <w:bottom w:val="single" w:sz="8" w:color="0000EE"/>
            </w:tcBorders>
            <w:gridSpan w:val="19"/>
          </w:tcPr>
          <w:p>
            <w:pPr>
              <w:spacing w:after="0"/>
              <w:rPr>
                <w:rFonts w:ascii="Arial" w:cs="Arial" w:eastAsia="Arial" w:hAnsi="Arial"/>
                <w:sz w:val="18"/>
                <w:szCs w:val="18"/>
                <w:b w:val="1"/>
                <w:bCs w:val="1"/>
                <w:color w:val="0000EE"/>
                <w:w w:val="85"/>
              </w:rPr>
            </w:pPr>
            <w:hyperlink w:anchor="page56">
              <w:r>
                <w:rPr>
                  <w:rFonts w:ascii="Arial" w:cs="Arial" w:eastAsia="Arial" w:hAnsi="Arial"/>
                  <w:sz w:val="18"/>
                  <w:szCs w:val="18"/>
                  <w:b w:val="1"/>
                  <w:bCs w:val="1"/>
                  <w:color w:val="0000EE"/>
                  <w:w w:val="85"/>
                </w:rPr>
                <w:t>Unregistered Sales of Equity Securities and Use of Proceeds</w:t>
              </w:r>
            </w:hyperlink>
          </w:p>
        </w:tc>
        <w:tc>
          <w:tcPr>
            <w:tcW w:w="526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720" w:type="dxa"/>
            <w:vAlign w:val="bottom"/>
            <w:gridSpan w:val="24"/>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Defaults Upon Senior Securities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38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Removed and Reserved</w:t>
              </w:r>
            </w:hyperlink>
          </w:p>
        </w:tc>
        <w:tc>
          <w:tcPr>
            <w:tcW w:w="7340" w:type="dxa"/>
            <w:vAlign w:val="bottom"/>
            <w:gridSpan w:val="1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2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92"/>
              </w:rPr>
            </w:pPr>
            <w:hyperlink w:anchor="page56">
              <w:r>
                <w:rPr>
                  <w:rFonts w:ascii="Arial" w:cs="Arial" w:eastAsia="Arial" w:hAnsi="Arial"/>
                  <w:sz w:val="18"/>
                  <w:szCs w:val="18"/>
                  <w:b w:val="1"/>
                  <w:bCs w:val="1"/>
                  <w:color w:val="0000EE"/>
                  <w:w w:val="92"/>
                </w:rPr>
                <w:t>Other Information</w:t>
              </w:r>
            </w:hyperlink>
          </w:p>
        </w:tc>
        <w:tc>
          <w:tcPr>
            <w:tcW w:w="340" w:type="dxa"/>
            <w:vAlign w:val="bottom"/>
            <w:tcBorders>
              <w:top w:val="single" w:sz="8" w:color="0000EE"/>
            </w:tcBorders>
            <w:gridSpan w:val="2"/>
          </w:tcPr>
          <w:p>
            <w:pPr>
              <w:spacing w:after="0"/>
              <w:rPr>
                <w:sz w:val="24"/>
                <w:szCs w:val="24"/>
                <w:color w:val="auto"/>
              </w:rPr>
            </w:pPr>
          </w:p>
        </w:tc>
        <w:tc>
          <w:tcPr>
            <w:tcW w:w="7960" w:type="dxa"/>
            <w:vAlign w:val="bottom"/>
            <w:gridSpan w:val="1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720" w:type="dxa"/>
            <w:vAlign w:val="bottom"/>
            <w:gridSpan w:val="24"/>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920" w:type="dxa"/>
            <w:vAlign w:val="bottom"/>
            <w:gridSpan w:val="2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800" w:type="dxa"/>
            <w:vAlign w:val="bottom"/>
            <w:tcBorders>
              <w:bottom w:val="single" w:sz="8" w:color="0000EE"/>
            </w:tcBorders>
            <w:gridSpan w:val="3"/>
          </w:tcPr>
          <w:p>
            <w:pPr>
              <w:spacing w:after="0"/>
              <w:rPr>
                <w:rFonts w:ascii="Arial" w:cs="Arial" w:eastAsia="Arial" w:hAnsi="Arial"/>
                <w:sz w:val="18"/>
                <w:szCs w:val="18"/>
                <w:b w:val="1"/>
                <w:bCs w:val="1"/>
                <w:color w:val="0000EE"/>
                <w:w w:val="83"/>
              </w:rPr>
            </w:pPr>
            <w:hyperlink w:anchor="page58">
              <w:r>
                <w:rPr>
                  <w:rFonts w:ascii="Arial" w:cs="Arial" w:eastAsia="Arial" w:hAnsi="Arial"/>
                  <w:sz w:val="18"/>
                  <w:szCs w:val="18"/>
                  <w:b w:val="1"/>
                  <w:bCs w:val="1"/>
                  <w:color w:val="0000EE"/>
                  <w:w w:val="83"/>
                </w:rPr>
                <w:t>Signatures</w:t>
              </w:r>
            </w:hyperlink>
          </w:p>
        </w:tc>
        <w:tc>
          <w:tcPr>
            <w:tcW w:w="8920" w:type="dxa"/>
            <w:vAlign w:val="bottom"/>
            <w:gridSpan w:val="21"/>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58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October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License and other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331.4</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282.0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987.4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Maintenance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194.7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860"/>
              <w:spacing w:after="0"/>
              <w:rPr>
                <w:sz w:val="20"/>
                <w:szCs w:val="20"/>
                <w:color w:val="auto"/>
              </w:rPr>
            </w:pPr>
            <w:r>
              <w:rPr>
                <w:rFonts w:ascii="Arial" w:cs="Arial" w:eastAsia="Arial" w:hAnsi="Arial"/>
                <w:sz w:val="18"/>
                <w:szCs w:val="18"/>
                <w:color w:val="auto"/>
              </w:rPr>
              <w:t>Total net revenue</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548.6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476.7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1,623.2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Cost of license and other revenue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maintenance revenue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428.2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1,451.6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185.1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359.0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1,076.1</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72.8</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53.6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213.3</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0.32</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0.23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0.91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basic net income per share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226.5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in computing diluted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232.4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00" w:type="dxa"/>
            <w:vAlign w:val="bottom"/>
            <w:shd w:val="clear" w:color="auto" w:fill="CCEEFF"/>
          </w:tcPr>
          <w:p>
            <w:pPr>
              <w:ind w:left="424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1,103.3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240.3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1,698.6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1,714.3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Computer equipment, software, furniture and leasehold improvements, net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653.9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3,005.0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vMerge w:val="restart"/>
          </w:tcPr>
          <w:p>
            <w:pPr>
              <w:ind w:left="266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81.9</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Accrued income taxes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Long term income taxes payable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Common stock and additional paid-in capital</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1,359.9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464.2</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1,827.5</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3,005.0</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213.3</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85.2</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Excess tax benefits from stock-based compensation</w:t>
            </w: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Restructuring (benefits) charges,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 net of business combinations</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(456.0)</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Sales of marketable securities</w:t>
            </w: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110.8</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of marketable securities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Capital expenditures, including developed technologies</w:t>
            </w: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(88.8)</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Business combinations, net of cash acquired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(142.6)</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Other investing activities</w:t>
            </w: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(23.5)</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(293.1)</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net of issuance costs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Repurchases of common stock</w:t>
            </w: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(263.7)</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(74.4)</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1"/>
        </w:trPr>
        <w:tc>
          <w:tcPr>
            <w:tcW w:w="982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fiscal year</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1,075.1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1,103.3</w:t>
            </w:r>
          </w:p>
        </w:tc>
        <w:tc>
          <w:tcPr>
            <w:tcW w:w="18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$ 904.3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20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accompanying unaudited Condensed Consolidated Financial Statements of Autodesk, Inc. (“Autodesk” or the “Company”) as of October 31, 2011, and for the three and nine months ended October 31, 2011, have been prepared in accordance with accounting principles generally accepted in the U.S. for interim financial information along with the instructions to Form 10-Q and Article 10 of Securities and Exchange Commission (“SEC”) Regulation S-X. Accordingly, they do not include all of the information and notes required by generally accepted accounting principles (“GAAP”) for annual financial statements. In management’s opinion, Autodesk has made all adjustments (consisting of normal, recurring and non-recurring adjustments) during the quarter that were considered necessary for the fair presentation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nine months ended October 31, 2011 are not necessarily indicative of the results for the entire fiscal year ending January 31, 2012, or for any other period.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2011, filed on March 18, 2011.</w:t>
      </w:r>
    </w:p>
    <w:p>
      <w:pPr>
        <w:spacing w:after="0" w:line="24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nine months ended October 31, 2011, that are of significance, or potential significance, to the Company.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Standards Adopted</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December 2010, the FASB issued Accounting Standard Update (“ASU”) 2010-29 regarding Accounting Standards Codification (“ASC”) Topic 805 “Business Combinations.” This ASU updates accounting guidance to clarify that pro forma disclosures should be presented as if a business combination occurred at the beginning of the prior annual period for purposes of preparing both the current reporting period and the prior reporting period pro forma financial information. These disclosures should be accompanied by a narrative description about the nature and amount of material, nonrecurring pro forma adjustments. The new accounting guidance is effective for business combinations consummated in periods beginning after December 15, 2010, and should be applied prospectively as of the date of adoption. Autodesk adopted the new disclosures under ASU 2010-29 effective February 1, 2011. The adoption of this ASU did not have a material impact on its consolidated statements of financial position, results of operations or cash flows. The impact of ASU 2010-29 on Autodesk’s future quarterly disclosures will be dependent on the size of the business combinations that it consummates in future periods.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December 2010, the FASB issued ASU 2010-28 regarding ASC Topic 350 “Intangibles – Goodwill and Other.” This ASU updates accounting guidance related to the calculation of the carrying amount of a reporting unit when performing the first step of a goodwill impairment test. More specifically, this update requires an entity to use an equity premise when performing the first step of a goodwill impairment test and if a reporting unit has a zero or negative carrying amount, the entity must assess and consider qualitative factors and whether it is more likely than not that a goodwill impairment exists. The new accounting guidance is effective for public entities, for impairment tests performed during entities’ fiscal years (and interim periods within those years) that begin after December 15, 2010. Autodesk adopted the changes under ASU 2010-28 effective February 1, 2011. The adoption of this ASU did not have a material impact on its consolidated statements of financial position, results of operations or cash flows.</w:t>
      </w:r>
    </w:p>
    <w:p>
      <w:pPr>
        <w:spacing w:after="0" w:line="118"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In January 2010, the FASB issued ASU 2010-06 regarding ASC Topic 820 “Fair Value Measurements and Disclosures.” This ASU requires additional disclosure regarding significant transfers in and out of Levels 1 and 2 fair value measurements and the reasons for the transfers. In addition, this ASU requires the Company to separately present information about purchases, sales, issuances, and settlements (on a gross basis rather than as one net number) in the reconciliation for fair value measurements using significant unobservable inputs (Level 3). ASU 2010-06 clarifies existing disclosures regarding fair value measurement for each class of assets and liabilities and the valuation techniques and inputs used to measure fair value for recurring and nonrecurring fair value measurements that fall in either Level 2 or Level 3. This update also includes conforming amendments to the guidance on employers’ disclosures about postretirement benefit plan asset (Subtopic 715-20). The changes under ASU 2010-06 were effective for Autodesk’s fiscal year beginning February 1, 2010, except for the disclosures about purchases, sales, issuances and settlements in the roll forward of activity in Level 3 fair value measurements, which Autodesk adopted February 1, 2011. The adoption of this ASU did not have a material impact on its consolidated statements of financial position, results of operations or cash flows.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October 2009, the FASB issued ASU 2009-13 regarding ASC Subtopic 605-25 “Revenue Recognition—Multiple-element Arrangements.” This ASU addresses criteria for separating the consideration in multiple-element arrangements. ASU 2009-13 requires companies to allocate the overall consideration to each deliverable by using a best estimate of the selling price of individual deliverables in the arrangement in the absence of vendor-specific objective evidence or other third-party evidence of the selling price. In October 2009, the FASB also issued ASU 2009-14 regarding ASC Topic 985 “Software: Certain Revenue Arrangements That Include Software Elements.” This ASU modifies the scope of ASC Subtopic 985-605, “Software Revenue Recognition,” to exclude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 The changes under ASU 2009-13 and 2009-14 are effective prospectively for revenue arrangements entered into or materially modified in fiscal years beginning on or after June 15, 2010. Autodesk adopted the changes under ASU 2009-13 and 2009-14 effective February 1, 2011. The adoption of this ASU did not have a material impact on its consolidated statements of financial position, results of operations or cash flows.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September 2011, the FASB issued ASU 2011-08 regarding ASC Topic 350 “Intangibles – Goodwill and Other.” This ASU allows for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it is more likely than not that the fair value of the reporting unit is greater than its carrying value, then performing the two-step impairment test is unnecessary. This ASU will be effective for Autodesk’s fiscal year beginning February 1, 2012. Early adoption is permitted. Autodesk believes that the adoption of this ASU will not have a material impact on its consolidated statements of financial position, results of operations or cash flows.</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June 2011, the FASB issued ASU 2011-05 regarding ASC Topic 220 “Comprehensive Income.” This ASU eliminates the option to present components of other comprehensive income as part of the statement of changes in stockholders’ equity and requires the presentation of the total of comprehensive income, the components of net income, and the components of other comprehensive income either in a single continuous statement of comprehensive income or in two separate but consecutive statements. This ASU will be effective for Autodesk’s fiscal year beginning February 1, 2012. Autodesk currently believes that this new accounting pronouncement will impact the presentation of other comprehensive income but will not impact its consolidated financial position, results of operations or cash flow.</w:t>
      </w:r>
    </w:p>
    <w:p>
      <w:pPr>
        <w:spacing w:after="0" w:line="14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May 2011, FASB issued ASU 2011-04 regarding ASC Topic 820 “Fair Value Measurement.” This ASU updates accounting guidance to clarify how to measure fair value to align the guidance surrounding Fair Value Measurement within GAAP and International Financial Reporting Standards. In addition, the ASU updates certain requirements for measuring fair value and for disclosure around fair value measurement. It does not require additional fair value measurements and the ASU was not intended to establish valuation standards or affect valuation practices outside of financial reporting. This ASU will be effective for Autodesk’s fiscal year beginning February 1, 2012. Early adoption is not permitted. Autodesk believes that the adoption of this ASU will not have a material impact on its consolidated statements of financial position, results of operations or cash flows.</w:t>
      </w:r>
    </w:p>
    <w:p>
      <w:pPr>
        <w:spacing w:after="0" w:line="24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Citibank and its global affiliates (“Citibank”). Citicorp USA, Inc., an affiliate of Citibank, is one of the lead lenders and agent in the syndicate of Autodesk’s $400.0 million line of credit facility. It is Autodesk’s policy to limit the amounts invested with any one institution by type of security and issuer.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Total sales to the distributor Tech Data Corporation, and its global affiliates (“Tech Data”), accounted for 16% of Autodesk’s total net revenue for both the three and nine months ended October 31, 2011, and 15% and 16% of Autodesk’s total net revenue for the three and nine months periods ended October 31, 2010, respectively. The majority of the net revenue from sales to Tech Data relates to Autodesk’s Platform Solutions and Emerging Business segment and is for sales made outside of the United States. In addition, Tech Data accounted for 17% and 16% of trade accounts receivable at October 31, 2011 and January 31, 2011, respectively. On October 27, 2011, Tech Data purchased certain assets of Mensch und Maschine Software (“MuM”), which has been a distributor of Autodesk products in Europe. Autodesk believes its business is not substantially dependent on Tech Data, including following the acquisition of certain assets of MuM. Autodesk’s customers through Tech Data are the resellers and end users who purchase Autodesk’s software licenses and services. Should any of the agreements between Autodesk and Tech Data be terminated for any reason, Autodesk believes the resellers and end users who currently purchase Autodesk’s products through Tech Data would be able to continue to do so under substantially the same terms from one of the many other distributors of Autodesk without substantial disruption to Autodesk revenue.</w:t>
      </w:r>
    </w:p>
    <w:p>
      <w:pPr>
        <w:spacing w:after="0" w:line="244" w:lineRule="exact"/>
        <w:rPr>
          <w:sz w:val="20"/>
          <w:szCs w:val="20"/>
          <w:color w:val="auto"/>
        </w:rPr>
      </w:pPr>
    </w:p>
    <w:p>
      <w:pPr>
        <w:ind w:left="240" w:right="7640" w:hanging="232"/>
        <w:spacing w:after="0" w:line="362" w:lineRule="auto"/>
        <w:tabs>
          <w:tab w:leader="none" w:pos="45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Financial Instruments and Hedging Activities </w:t>
      </w:r>
      <w:r>
        <w:rPr>
          <w:rFonts w:ascii="Arial" w:cs="Arial" w:eastAsia="Arial" w:hAnsi="Arial"/>
          <w:sz w:val="18"/>
          <w:szCs w:val="18"/>
          <w:i w:val="1"/>
          <w:iCs w:val="1"/>
          <w:color w:val="auto"/>
        </w:rPr>
        <w:t>Financial Instruments</w:t>
      </w:r>
    </w:p>
    <w:p>
      <w:pPr>
        <w:spacing w:after="0" w:line="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Market values were determined for each individual security in the investment portfolio. The cost and fair value of Autodesk’s financial instruments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3"/>
          </w:tcPr>
          <w:p>
            <w:pPr>
              <w:jc w:val="right"/>
              <w:ind w:right="462"/>
              <w:spacing w:after="0"/>
              <w:rPr>
                <w:sz w:val="20"/>
                <w:szCs w:val="20"/>
                <w:color w:val="auto"/>
              </w:rPr>
            </w:pPr>
            <w:r>
              <w:rPr>
                <w:rFonts w:ascii="Arial" w:cs="Arial" w:eastAsia="Arial" w:hAnsi="Arial"/>
                <w:sz w:val="14"/>
                <w:szCs w:val="14"/>
                <w:b w:val="1"/>
                <w:bCs w:val="1"/>
                <w:color w:val="auto"/>
              </w:rPr>
              <w:t>October 31, 2011</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4"/>
          </w:tcPr>
          <w:p>
            <w:pPr>
              <w:ind w:left="280"/>
              <w:spacing w:after="0"/>
              <w:rPr>
                <w:sz w:val="20"/>
                <w:szCs w:val="20"/>
                <w:color w:val="auto"/>
              </w:rPr>
            </w:pPr>
            <w:r>
              <w:rPr>
                <w:rFonts w:ascii="Arial" w:cs="Arial" w:eastAsia="Arial" w:hAnsi="Arial"/>
                <w:sz w:val="14"/>
                <w:szCs w:val="14"/>
                <w:b w:val="1"/>
                <w:bCs w:val="1"/>
                <w:color w:val="auto"/>
              </w:rPr>
              <w:t>January 31, 2011</w:t>
            </w:r>
          </w:p>
        </w:tc>
      </w:tr>
      <w:tr>
        <w:trPr>
          <w:trHeight w:val="142"/>
        </w:trPr>
        <w:tc>
          <w:tcPr>
            <w:tcW w:w="6780" w:type="dxa"/>
            <w:vAlign w:val="bottom"/>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Amortized Cost</w:t>
            </w:r>
          </w:p>
        </w:tc>
        <w:tc>
          <w:tcPr>
            <w:tcW w:w="5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Fair Value</w:t>
            </w:r>
          </w:p>
        </w:tc>
        <w:tc>
          <w:tcPr>
            <w:tcW w:w="480" w:type="dxa"/>
            <w:vAlign w:val="bottom"/>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2"/>
                <w:szCs w:val="12"/>
                <w:color w:val="auto"/>
              </w:rPr>
            </w:pPr>
          </w:p>
        </w:tc>
      </w:tr>
      <w:tr>
        <w:trPr>
          <w:trHeight w:val="210"/>
        </w:trPr>
        <w:tc>
          <w:tcPr>
            <w:tcW w:w="6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1,103.3</w:t>
            </w:r>
          </w:p>
        </w:tc>
        <w:tc>
          <w:tcPr>
            <w:tcW w:w="5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$1,103.3</w:t>
            </w: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4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$1,075.1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Marketable securities - short-term</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239.3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240.3</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197.5</w:t>
            </w:r>
          </w:p>
        </w:tc>
        <w:tc>
          <w:tcPr>
            <w:tcW w:w="620" w:type="dxa"/>
            <w:vAlign w:val="bottom"/>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 long-term</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190.8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Convertible debt securities</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Autodesk classifies its marketable securities and financial instruments as either short-term or long-term based on each instrument’s underlying contractual maturity date. Marketable securities and financial instruments with remaining maturities of less than 12 months are classified as short-term and marketable securities and financial instruments with remaining maturities greater than 12 months are classified as long-term. Autodesk may sell certain of its marketable securities and financial instruments prior to their stated maturities for strategic purposes or in anticipation of credit deterioration.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Autodesk has marketable securities and financial instruments that are classified as either “available-for-sale securities” or “trading securities.”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October 31, 2011 and January 31, 2011, Autodesk’s short-term investment portfolio included $32.7 million and $31.3 million, respectively, of “trading securities”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invested in a defined set of mutual funds directed by the participants in the Company’s Deferred Compensation Plan. At October 31, 2011, these securities had net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unrealized gains of $0.9 million and a cost basis of $31.8 million. At January 31, 2011, these securities had net unrealized gains of $1.6 million and a cost basis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$29.7 million (see Note 11, “Deferred Compensation”).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Marketable securities and financial instruments classified as “available-for-sale securities” include the following securities at October 31,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January 31,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October 31, 2011</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5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Cost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Short-term available-for-sale securities:</w:t>
            </w:r>
          </w:p>
        </w:tc>
        <w:tc>
          <w:tcPr>
            <w:tcW w:w="1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21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126.9</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Certificates of deposit and time deposits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tcPr>
          <w:p>
            <w:pPr>
              <w:spacing w:after="0"/>
              <w:rPr>
                <w:sz w:val="19"/>
                <w:szCs w:val="19"/>
                <w:color w:val="auto"/>
              </w:rPr>
            </w:pPr>
          </w:p>
        </w:tc>
        <w:tc>
          <w:tcPr>
            <w:tcW w:w="21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207.5</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Long-term available-for-sale securities: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Corporate debt securities</w:t>
            </w:r>
          </w:p>
        </w:tc>
        <w:tc>
          <w:tcPr>
            <w:tcW w:w="21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131.1</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(0.6)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Taxable auction-rate securities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Convertible debt securities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1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0.3</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80"/>
              <w:spacing w:after="0"/>
              <w:rPr>
                <w:sz w:val="20"/>
                <w:szCs w:val="20"/>
                <w:color w:val="auto"/>
              </w:rPr>
            </w:pPr>
            <w:r>
              <w:rPr>
                <w:rFonts w:ascii="Arial" w:cs="Arial" w:eastAsia="Arial" w:hAnsi="Arial"/>
                <w:sz w:val="18"/>
                <w:szCs w:val="18"/>
                <w:color w:val="auto"/>
                <w:w w:val="79"/>
              </w:rPr>
              <w:t>1.</w:t>
            </w:r>
            <w:r>
              <w:rPr>
                <w:rFonts w:ascii="Arial" w:cs="Arial" w:eastAsia="Arial" w:hAnsi="Arial"/>
                <w:sz w:val="18"/>
                <w:szCs w:val="18"/>
                <w:u w:val="single" w:color="auto"/>
                <w:color w:val="auto"/>
                <w:w w:val="79"/>
              </w:rPr>
              <w:t>4</w:t>
            </w:r>
          </w:p>
        </w:tc>
        <w:tc>
          <w:tcPr>
            <w:tcW w:w="4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(0.7)</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January 31, 2011</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4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5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Cost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Short-term available-for-sale securities:</w:t>
            </w:r>
          </w:p>
        </w:tc>
        <w:tc>
          <w:tcPr>
            <w:tcW w:w="1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21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47.6</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Certificates of deposit and time deposits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Sovereign debt</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440"/>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Long-term available-for-sale securities:</w:t>
            </w:r>
          </w:p>
        </w:tc>
        <w:tc>
          <w:tcPr>
            <w:tcW w:w="1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debt securities</w:t>
            </w:r>
          </w:p>
        </w:tc>
        <w:tc>
          <w:tcPr>
            <w:tcW w:w="21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U.S. government agency securities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Taxable auction-rate securities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440"/>
              <w:spacing w:after="0"/>
              <w:rPr>
                <w:sz w:val="20"/>
                <w:szCs w:val="20"/>
                <w:color w:val="auto"/>
              </w:rPr>
            </w:pPr>
            <w:r>
              <w:rPr>
                <w:rFonts w:ascii="Arial" w:cs="Arial" w:eastAsia="Arial" w:hAnsi="Arial"/>
                <w:sz w:val="18"/>
                <w:szCs w:val="18"/>
                <w:color w:val="auto"/>
              </w:rPr>
              <w:t>Sovereign debt</w:t>
            </w:r>
          </w:p>
        </w:tc>
        <w:tc>
          <w:tcPr>
            <w:tcW w:w="1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0.1</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sales or redemptions of “available-for-sale securities” resulted in no gross gains or losses during the three and nine month periods ended October 31, 2011 and 2010. The cost of securities sold is based on the specific identification method.</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At October 31, 2011 and January 31, 2011, Autodesk owned an auction rate security with an estimated fair value of $4.2 million. Autodesk’s auction rate security is a variable rate debt instrument that has underlying securities with contractual maturities greater than ten years and interest rates that were structured to reset at auction every twenty-eight days. The security, which met Autodesk’s investment guidelines at the time the investment was made, has failed to settle in auction since August 2007 and has earned a premium interest rate since that time. While Autodesk expects to recover substantially all of its current holdings, net of reserves, in the auction rate security, it cannot predict when this will occur or the amount the Company will receive. Due to the lack of liquidity of this investment in an active market, it is included in non-current “marketable securities” on the accompanying Condensed Consolidated Balance Sheets. The Company will continue on a quarterly basis to evaluate its accounting for this investment.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estimated fair value of our “available-for-sale securities” classified by the contractual maturity date of the security: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40" w:type="dxa"/>
            <w:vAlign w:val="bottom"/>
            <w:gridSpan w:val="6"/>
          </w:tcPr>
          <w:p>
            <w:pPr>
              <w:ind w:left="300"/>
              <w:spacing w:after="0"/>
              <w:rPr>
                <w:sz w:val="20"/>
                <w:szCs w:val="20"/>
                <w:color w:val="auto"/>
              </w:rPr>
            </w:pPr>
            <w:r>
              <w:rPr>
                <w:rFonts w:ascii="Arial" w:cs="Arial" w:eastAsia="Arial" w:hAnsi="Arial"/>
                <w:sz w:val="14"/>
                <w:szCs w:val="14"/>
                <w:b w:val="1"/>
                <w:bCs w:val="1"/>
                <w:color w:val="auto"/>
              </w:rPr>
              <w:t>October 31,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Due in less than 1 year</w:t>
            </w:r>
          </w:p>
        </w:tc>
        <w:tc>
          <w:tcPr>
            <w:tcW w:w="37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$207.5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Due in 1 year through 5 years</w:t>
            </w:r>
          </w:p>
        </w:tc>
        <w:tc>
          <w:tcPr>
            <w:tcW w:w="4480" w:type="dxa"/>
            <w:vAlign w:val="bottom"/>
            <w:gridSpan w:val="3"/>
          </w:tcPr>
          <w:p>
            <w:pPr>
              <w:jc w:val="right"/>
              <w:ind w:right="220"/>
              <w:spacing w:after="0"/>
              <w:rPr>
                <w:sz w:val="20"/>
                <w:szCs w:val="20"/>
                <w:color w:val="auto"/>
              </w:rPr>
            </w:pPr>
            <w:r>
              <w:rPr>
                <w:rFonts w:ascii="Arial" w:cs="Arial" w:eastAsia="Arial" w:hAnsi="Arial"/>
                <w:sz w:val="18"/>
                <w:szCs w:val="18"/>
                <w:color w:val="auto"/>
              </w:rPr>
              <w:t>198.1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Due in 5 years through 10 years</w:t>
            </w:r>
          </w:p>
        </w:tc>
        <w:tc>
          <w:tcPr>
            <w:tcW w:w="3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Due after 10 years</w:t>
            </w:r>
          </w:p>
        </w:tc>
        <w:tc>
          <w:tcPr>
            <w:tcW w:w="37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409.8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October 31, 2011 and January 31, 2011, Autodesk did not have any securities in a continuous unrealized loss position for greater than twelve months.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Under its risk management strategy, Autodesk uses derivative instruments to manage its short-term exposures to fluctuations in foreign currency exchange rates and market price risk which exist as part of ongoing business operations. Autodesk’s general practice is to hedge a majority of transaction exposures denominated in euros, Japanese yen, Swiss francs, British pounds, Canadian dollars and Australian dollars. These instruments have maturities between one to twelve months in the future. Autodesk does not enter into derivative instrument transactions for trading or speculative purposes.</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does not have any master netting arrangements in place with collateral features.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Autodesk utilizes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income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income (loss)” to “Interest and other income (expense), net” in the Company’s Condensed Consolidated Financial Statements at that time.</w:t>
      </w:r>
    </w:p>
    <w:p>
      <w:pPr>
        <w:spacing w:after="0" w:line="118"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notional amount of these contracts was $401.9 million at October 31, 2011 and $345.5 million at January 31, 2011. Outstanding contracts are recognized as either assets or liabilities on the balance sheet at fair value. The entire net loss of $3.6 million remaining in “Accumulated other comprehensive income (loss)” as of October 31, 2011 is expected to be recognized into earnings within the next twelve months.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Autodesk uses foreign currency contracts which are not designated as hedging instruments to reduce the exchange rate risk associated primarily with foreign currency denominated receivables and payables. Forward contracts are marked-to-market at the end of each fiscal quarter with gains and losses recognized as “Interest and other income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notional amounts of foreign currency contracts were $24.1 million at October 31, 2011 and $56.1 million at January 31, 2011.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income (expense), net.”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derivative instruments in Autodesk’s Condensed Consolidated Balance Sheets was as follows as of October 31, 2011 and January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1"/>
              </w:rPr>
              <w:t>Fair Value at</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October 31,</w:t>
            </w:r>
          </w:p>
        </w:tc>
        <w:tc>
          <w:tcPr>
            <w:tcW w:w="5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January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320" w:type="dxa"/>
            <w:vAlign w:val="bottom"/>
            <w:gridSpan w:val="2"/>
          </w:tcPr>
          <w:p>
            <w:pPr>
              <w:ind w:left="28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14"/>
                <w:szCs w:val="14"/>
                <w:color w:val="auto"/>
              </w:rPr>
            </w:pPr>
          </w:p>
        </w:tc>
        <w:tc>
          <w:tcPr>
            <w:tcW w:w="520" w:type="dxa"/>
            <w:vAlign w:val="bottom"/>
          </w:tcPr>
          <w:p>
            <w:pPr>
              <w:jc w:val="right"/>
              <w:ind w:right="117"/>
              <w:spacing w:after="0"/>
              <w:rPr>
                <w:sz w:val="20"/>
                <w:szCs w:val="20"/>
                <w:color w:val="auto"/>
              </w:rPr>
            </w:pPr>
            <w:r>
              <w:rPr>
                <w:rFonts w:ascii="Arial" w:cs="Arial" w:eastAsia="Arial" w:hAnsi="Arial"/>
                <w:sz w:val="14"/>
                <w:szCs w:val="14"/>
                <w:b w:val="1"/>
                <w:bCs w:val="1"/>
                <w:color w:val="auto"/>
                <w:w w:val="96"/>
              </w:rPr>
              <w:t>2011</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15"/>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9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Foreign currency contracts designated as cash flow hedges</w:t>
            </w:r>
          </w:p>
        </w:tc>
        <w:tc>
          <w:tcPr>
            <w:tcW w:w="2320" w:type="dxa"/>
            <w:vAlign w:val="bottom"/>
            <w:gridSpan w:val="2"/>
          </w:tcPr>
          <w:p>
            <w:pPr>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Derivatives not designated as hedging instruments</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860"/>
              <w:spacing w:after="0"/>
              <w:rPr>
                <w:sz w:val="20"/>
                <w:szCs w:val="20"/>
                <w:color w:val="auto"/>
              </w:rPr>
            </w:pPr>
            <w:r>
              <w:rPr>
                <w:rFonts w:ascii="Arial" w:cs="Arial" w:eastAsia="Arial" w:hAnsi="Arial"/>
                <w:sz w:val="18"/>
                <w:szCs w:val="18"/>
                <w:color w:val="auto"/>
              </w:rPr>
              <w:t>Total derivative assets</w:t>
            </w:r>
          </w:p>
        </w:tc>
        <w:tc>
          <w:tcPr>
            <w:tcW w:w="1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5</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7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Derivative Liabilities</w:t>
            </w:r>
          </w:p>
        </w:tc>
        <w:tc>
          <w:tcPr>
            <w:tcW w:w="1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contracts designated as cash flow hedges</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Derivatives not designated as hedging instruments</w:t>
            </w:r>
          </w:p>
        </w:tc>
        <w:tc>
          <w:tcPr>
            <w:tcW w:w="1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derivative liabilities</w:t>
            </w:r>
          </w:p>
        </w:tc>
        <w:tc>
          <w:tcPr>
            <w:tcW w:w="1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effects of derivatives designated as hedging instruments on Autodesk’s Condensed Consolidated Statements of Operations were as follows for the three and nine months ended October 31, 2011 and 2010, respectively (amounts presented include any income tax effects):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4"/>
                <w:szCs w:val="14"/>
                <w:b w:val="1"/>
                <w:bCs w:val="1"/>
                <w:color w:val="auto"/>
                <w:w w:val="95"/>
              </w:rPr>
              <w:t>Foreign Currency Contracts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40" w:type="dxa"/>
            <w:vAlign w:val="bottom"/>
            <w:gridSpan w:val="6"/>
          </w:tcPr>
          <w:p>
            <w:pPr>
              <w:jc w:val="right"/>
              <w:ind w:right="540"/>
              <w:spacing w:after="0" w:line="142" w:lineRule="exact"/>
              <w:rPr>
                <w:sz w:val="20"/>
                <w:szCs w:val="20"/>
                <w:color w:val="auto"/>
              </w:rPr>
            </w:pPr>
            <w:r>
              <w:rPr>
                <w:rFonts w:ascii="Arial" w:cs="Arial" w:eastAsia="Arial" w:hAnsi="Arial"/>
                <w:sz w:val="14"/>
                <w:szCs w:val="14"/>
                <w:b w:val="1"/>
                <w:bCs w:val="1"/>
                <w:color w:val="auto"/>
                <w:w w:val="90"/>
              </w:rPr>
              <w:t>Three Months Ended October 31,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20" w:type="dxa"/>
            <w:vAlign w:val="bottom"/>
            <w:gridSpan w:val="4"/>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Nine Months Ended October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6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2"/>
              </w:rPr>
              <w:t>Amount of Gain (Loss) Recognized in Accumulated OCI on Derivatives</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(Effective Portion)</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w w:val="89"/>
              </w:rPr>
              <w:t>Amount and Location of Gain (Loss) Reclassified from Accumulated OCI</w:t>
            </w: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b w:val="1"/>
                <w:bCs w:val="1"/>
                <w:color w:val="auto"/>
              </w:rPr>
              <w:t>into Income (Effective Portion)</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440"/>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w w:val="87"/>
              </w:rPr>
              <w:t>Amount and Location of Gain (Loss) Recognized in Income on Derivatives</w:t>
            </w: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b w:val="1"/>
                <w:bCs w:val="1"/>
                <w:color w:val="auto"/>
                <w:w w:val="89"/>
              </w:rPr>
              <w:t>(Ineffective Portion and Amount Excluded from Effectiveness Testing)</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other income (expense), net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80" w:type="dxa"/>
            <w:vAlign w:val="bottom"/>
            <w:vMerge w:val="restart"/>
          </w:tcPr>
          <w:p>
            <w:pPr>
              <w:jc w:val="right"/>
              <w:ind w:right="192"/>
              <w:spacing w:after="0"/>
              <w:rPr>
                <w:sz w:val="20"/>
                <w:szCs w:val="20"/>
                <w:color w:val="auto"/>
              </w:rPr>
            </w:pPr>
            <w:r>
              <w:rPr>
                <w:rFonts w:ascii="Arial" w:cs="Arial" w:eastAsia="Arial" w:hAnsi="Arial"/>
                <w:sz w:val="18"/>
                <w:szCs w:val="18"/>
                <w:color w:val="auto"/>
                <w:w w:val="89"/>
              </w:rPr>
              <w:t>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60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effects of derivatives not designated as hedging instruments on Autodesk’s Condensed Consolidated Statements of Operations were as follows for the three and nine months ended October 31, 2011 and 2010, respectively (amounts presented include any income tax effects):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5"/>
          </w:tcPr>
          <w:p>
            <w:pPr>
              <w:jc w:val="right"/>
              <w:ind w:right="1300"/>
              <w:spacing w:after="0"/>
              <w:rPr>
                <w:sz w:val="20"/>
                <w:szCs w:val="20"/>
                <w:color w:val="auto"/>
              </w:rPr>
            </w:pPr>
            <w:r>
              <w:rPr>
                <w:rFonts w:ascii="Arial" w:cs="Arial" w:eastAsia="Arial" w:hAnsi="Arial"/>
                <w:sz w:val="14"/>
                <w:szCs w:val="14"/>
                <w:b w:val="1"/>
                <w:bCs w:val="1"/>
                <w:color w:val="auto"/>
                <w:w w:val="92"/>
              </w:rPr>
              <w:t>Foreign Currency Contracts</w:t>
            </w: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40" w:type="dxa"/>
            <w:vAlign w:val="bottom"/>
            <w:vMerge w:val="restart"/>
          </w:tcPr>
          <w:p>
            <w:pPr>
              <w:spacing w:after="0"/>
              <w:rPr>
                <w:sz w:val="20"/>
                <w:szCs w:val="20"/>
                <w:color w:val="auto"/>
              </w:rPr>
            </w:pPr>
            <w:r>
              <w:rPr>
                <w:rFonts w:ascii="Arial" w:cs="Arial" w:eastAsia="Arial" w:hAnsi="Arial"/>
                <w:sz w:val="14"/>
                <w:szCs w:val="14"/>
                <w:b w:val="1"/>
                <w:bCs w:val="1"/>
                <w:color w:val="auto"/>
              </w:rPr>
              <w:t>Amount and Location of Gain (Loss) Recognized in Income on Derivative</w:t>
            </w:r>
          </w:p>
        </w:tc>
        <w:tc>
          <w:tcPr>
            <w:tcW w:w="18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rPr>
              <w:t>Three Months Ended October 31,</w:t>
            </w:r>
          </w:p>
        </w:tc>
        <w:tc>
          <w:tcPr>
            <w:tcW w:w="7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w w:val="89"/>
              </w:rPr>
              <w:t>Nine Months Ended October 31,</w:t>
            </w:r>
          </w:p>
        </w:tc>
        <w:tc>
          <w:tcPr>
            <w:tcW w:w="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9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income (expense), net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(0.6)</w:t>
            </w: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a recurring basis, Autodesk measures the fair value of certain financial assets and liabilities, which consist of cash equivalents, marketable securities and financial instruments. Autodesk uses a three-tier fair value hierarchy, which prioritizes the inputs used in measuring fair value as follows: (Level 1) observable inputs such as quoted prices in active markets; (Level 2) inputs other than the quoted prices in active markets that are observable either directly or indirectly in active markets;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A financial asset or liability’s classification within the hierarchy is determined based on the lowest level input that is significant to the fair value measurement. There have been no transfers between fair value measurement levels during the nine months ended October 31, 2011.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Autodesk’s investments and financial instruments measured at fair value on a recurring basis as of October 31,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8"/>
          </w:tcPr>
          <w:p>
            <w:pPr>
              <w:ind w:left="740"/>
              <w:spacing w:after="0"/>
              <w:rPr>
                <w:sz w:val="20"/>
                <w:szCs w:val="20"/>
                <w:color w:val="auto"/>
              </w:rPr>
            </w:pPr>
            <w:r>
              <w:rPr>
                <w:rFonts w:ascii="Arial" w:cs="Arial" w:eastAsia="Arial" w:hAnsi="Arial"/>
                <w:sz w:val="14"/>
                <w:szCs w:val="14"/>
                <w:b w:val="1"/>
                <w:bCs w:val="1"/>
                <w:color w:val="auto"/>
                <w:w w:val="93"/>
              </w:rPr>
              <w:t>Fair Value Measurements at October 31, 2011 Using</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40" w:type="dxa"/>
            <w:vAlign w:val="bottom"/>
          </w:tcPr>
          <w:p>
            <w:pPr>
              <w:spacing w:after="0"/>
              <w:rPr>
                <w:sz w:val="11"/>
                <w:szCs w:val="11"/>
                <w:color w:val="auto"/>
              </w:rPr>
            </w:pPr>
          </w:p>
        </w:tc>
        <w:tc>
          <w:tcPr>
            <w:tcW w:w="148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12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in Active</w:t>
            </w:r>
          </w:p>
        </w:tc>
        <w:tc>
          <w:tcPr>
            <w:tcW w:w="100" w:type="dxa"/>
            <w:vAlign w:val="bottom"/>
          </w:tcPr>
          <w:p>
            <w:pPr>
              <w:spacing w:after="0"/>
              <w:rPr>
                <w:sz w:val="12"/>
                <w:szCs w:val="12"/>
                <w:color w:val="auto"/>
              </w:rPr>
            </w:pPr>
          </w:p>
        </w:tc>
        <w:tc>
          <w:tcPr>
            <w:tcW w:w="11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64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Identical Assets</w:t>
            </w:r>
          </w:p>
        </w:tc>
        <w:tc>
          <w:tcPr>
            <w:tcW w:w="100" w:type="dxa"/>
            <w:vAlign w:val="bottom"/>
          </w:tcPr>
          <w:p>
            <w:pPr>
              <w:spacing w:after="0"/>
              <w:rPr>
                <w:sz w:val="14"/>
                <w:szCs w:val="14"/>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Inputs</w:t>
            </w:r>
          </w:p>
        </w:tc>
        <w:tc>
          <w:tcPr>
            <w:tcW w:w="8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4"/>
                <w:szCs w:val="1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7"/>
              </w:rPr>
              <w:t>(Level 1)</w:t>
            </w:r>
          </w:p>
        </w:tc>
        <w:tc>
          <w:tcPr>
            <w:tcW w:w="58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(Level 2)</w:t>
            </w: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8"/>
              </w:rPr>
              <w:t>(Level 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454.3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305.2</w:t>
            </w: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paper and corporate debt securities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Convertible debt securities </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440"/>
              <w:spacing w:after="0"/>
              <w:rPr>
                <w:sz w:val="20"/>
                <w:szCs w:val="20"/>
                <w:color w:val="auto"/>
              </w:rPr>
            </w:pPr>
            <w:r>
              <w:rPr>
                <w:rFonts w:ascii="Arial" w:cs="Arial" w:eastAsia="Arial" w:hAnsi="Arial"/>
                <w:sz w:val="18"/>
                <w:szCs w:val="18"/>
                <w:color w:val="auto"/>
              </w:rPr>
              <w:t xml:space="preserve">Derivative contracts </w:t>
            </w:r>
            <w:r>
              <w:rPr>
                <w:rFonts w:ascii="Arial" w:cs="Arial" w:eastAsia="Arial" w:hAnsi="Arial"/>
                <w:sz w:val="11"/>
                <w:szCs w:val="11"/>
                <w:color w:val="auto"/>
              </w:rPr>
              <w:t>(3)</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803.7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Derivative contracts </w:t>
            </w:r>
            <w:r>
              <w:rPr>
                <w:rFonts w:ascii="Arial" w:cs="Arial" w:eastAsia="Arial" w:hAnsi="Arial"/>
                <w:sz w:val="11"/>
                <w:szCs w:val="11"/>
                <w:color w:val="auto"/>
              </w:rPr>
              <w:t>(4)</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Included in “Cash and cash equivalents” in the accompanying Condensed Consolidated Balance Sheets.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Included in “Other assets” in the accompanying Condensed Consolidated Balance Sheets.</w:t>
      </w:r>
    </w:p>
    <w:p>
      <w:pPr>
        <w:spacing w:after="0" w:line="8" w:lineRule="exact"/>
        <w:rPr>
          <w:rFonts w:ascii="Arial" w:cs="Arial" w:eastAsia="Arial" w:hAnsi="Arial"/>
          <w:sz w:val="22"/>
          <w:szCs w:val="22"/>
          <w:color w:val="auto"/>
          <w:vertAlign w:val="superscript"/>
        </w:rPr>
      </w:pPr>
    </w:p>
    <w:p>
      <w:pPr>
        <w:ind w:left="460" w:hanging="452"/>
        <w:spacing w:after="0" w:line="207" w:lineRule="auto"/>
        <w:tabs>
          <w:tab w:leader="none" w:pos="460" w:val="left"/>
        </w:tabs>
        <w:numPr>
          <w:ilvl w:val="0"/>
          <w:numId w:val="8"/>
        </w:numPr>
        <w:rPr>
          <w:rFonts w:ascii="Arial" w:cs="Arial" w:eastAsia="Arial" w:hAnsi="Arial"/>
          <w:sz w:val="21"/>
          <w:szCs w:val="21"/>
          <w:color w:val="auto"/>
          <w:vertAlign w:val="superscript"/>
        </w:rPr>
      </w:pPr>
      <w:r>
        <w:rPr>
          <w:rFonts w:ascii="Arial" w:cs="Arial" w:eastAsia="Arial" w:hAnsi="Arial"/>
          <w:sz w:val="17"/>
          <w:szCs w:val="17"/>
          <w:color w:val="auto"/>
        </w:rPr>
        <w:t>Included in “Prepaid expenses and other current assets” or “Other assets” in the accompanying Condensed Consolidated Balance Sheets.</w:t>
      </w:r>
    </w:p>
    <w:p>
      <w:pPr>
        <w:spacing w:after="0" w:line="7" w:lineRule="exact"/>
        <w:rPr>
          <w:rFonts w:ascii="Arial" w:cs="Arial" w:eastAsia="Arial" w:hAnsi="Arial"/>
          <w:sz w:val="21"/>
          <w:szCs w:val="21"/>
          <w:color w:val="auto"/>
          <w:vertAlign w:val="superscript"/>
        </w:rPr>
      </w:pPr>
    </w:p>
    <w:p>
      <w:pPr>
        <w:ind w:left="460" w:hanging="452"/>
        <w:spacing w:after="0" w:line="197"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Included in “Other accrued liabilities” in the accompanying Condensed Consolidated Balance Sheets.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summarizes Autodesk’s investments and financial instruments measured at fair value on a recurring basis as of January 31,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9"/>
          </w:tcPr>
          <w:p>
            <w:pPr>
              <w:ind w:left="720"/>
              <w:spacing w:after="0"/>
              <w:rPr>
                <w:sz w:val="20"/>
                <w:szCs w:val="20"/>
                <w:color w:val="auto"/>
              </w:rPr>
            </w:pPr>
            <w:r>
              <w:rPr>
                <w:rFonts w:ascii="Arial" w:cs="Arial" w:eastAsia="Arial" w:hAnsi="Arial"/>
                <w:sz w:val="14"/>
                <w:szCs w:val="14"/>
                <w:b w:val="1"/>
                <w:bCs w:val="1"/>
                <w:color w:val="auto"/>
                <w:w w:val="92"/>
              </w:rPr>
              <w:t>Fair Value Measurements at January 31, 2011 Using</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8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60" w:type="dxa"/>
            <w:vAlign w:val="bottom"/>
          </w:tcPr>
          <w:p>
            <w:pPr>
              <w:spacing w:after="0"/>
              <w:rPr>
                <w:sz w:val="11"/>
                <w:szCs w:val="11"/>
                <w:color w:val="auto"/>
              </w:rPr>
            </w:pPr>
          </w:p>
        </w:tc>
        <w:tc>
          <w:tcPr>
            <w:tcW w:w="9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in Active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6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2"/>
              </w:rPr>
              <w:t>Identical Assets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4"/>
                <w:szCs w:val="1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7"/>
              </w:rPr>
              <w:t>(Level 1)</w:t>
            </w:r>
          </w:p>
        </w:tc>
        <w:tc>
          <w:tcPr>
            <w:tcW w:w="56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4"/>
              </w:rPr>
              <w:t>(Level 3)</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285.4</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88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331.0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paper and corporate debt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88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880"/>
              <w:spacing w:after="0"/>
              <w:rPr>
                <w:sz w:val="20"/>
                <w:szCs w:val="20"/>
                <w:color w:val="auto"/>
              </w:rPr>
            </w:pPr>
            <w:r>
              <w:rPr>
                <w:rFonts w:ascii="Arial" w:cs="Arial" w:eastAsia="Arial" w:hAnsi="Arial"/>
                <w:sz w:val="18"/>
                <w:szCs w:val="18"/>
                <w:color w:val="auto"/>
              </w:rPr>
              <w:t>Sovereign debt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(2)</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692.4</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Included in “Cash and cash equivalents” in the accompanying Condensed Consolidated Balance Sheets.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Included in “Prepaid expenses and other current assets” in the accompanying Condensed Consolidated Balance Sheets.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Included in “Other accrued liabilities” in the accompanying Condensed Consolidated Balance Sheets.</w:t>
      </w:r>
    </w:p>
    <w:p>
      <w:pPr>
        <w:spacing w:after="0" w:line="15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Autodesk’s cash equivalents and marketable securities are primarily classified within Level 1 or Level 2 of the fair value hierarchy. Autodesk’s Level 1 securities are valued primarily using quoted market prices. Level 2 securities are valued primarily using alternative pricing sources and models utilizing market observable inputs with reasonable levels of price transparency. The Company’s investments held in auction rate and convertible debt securities at October 31, 2011 and January 31, 2011 are designated as Level 3 because they are valued using probability weighted discounted cash flow models and some of the inputs to the models are unobservable in the market.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change in Autodesk’s Level 3 items for the nine months ended October 31, 2011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4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7"/>
              </w:rPr>
              <w:t>Fair Value Measurements Using Significant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22"/>
              <w:spacing w:after="0"/>
              <w:rPr>
                <w:sz w:val="20"/>
                <w:szCs w:val="20"/>
                <w:color w:val="auto"/>
              </w:rPr>
            </w:pPr>
            <w:r>
              <w:rPr>
                <w:rFonts w:ascii="Arial" w:cs="Arial" w:eastAsia="Arial" w:hAnsi="Arial"/>
                <w:sz w:val="14"/>
                <w:szCs w:val="14"/>
                <w:b w:val="1"/>
                <w:bCs w:val="1"/>
                <w:color w:val="auto"/>
                <w:w w:val="88"/>
              </w:rPr>
              <w:t>Unobservable Inputs</w:t>
            </w: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left="42"/>
              <w:spacing w:after="0" w:line="142" w:lineRule="exact"/>
              <w:rPr>
                <w:sz w:val="20"/>
                <w:szCs w:val="20"/>
                <w:color w:val="auto"/>
              </w:rPr>
            </w:pPr>
            <w:r>
              <w:rPr>
                <w:rFonts w:ascii="Arial" w:cs="Arial" w:eastAsia="Arial" w:hAnsi="Arial"/>
                <w:sz w:val="14"/>
                <w:szCs w:val="14"/>
                <w:b w:val="1"/>
                <w:bCs w:val="1"/>
                <w:color w:val="auto"/>
                <w:w w:val="87"/>
              </w:rPr>
              <w:t>(Level 3)</w:t>
            </w:r>
          </w:p>
        </w:tc>
        <w:tc>
          <w:tcPr>
            <w:tcW w:w="2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5"/>
              </w:rPr>
              <w:t>Taxable</w:t>
            </w:r>
          </w:p>
        </w:tc>
        <w:tc>
          <w:tcPr>
            <w:tcW w:w="520" w:type="dxa"/>
            <w:vAlign w:val="bottom"/>
          </w:tcPr>
          <w:p>
            <w:pPr>
              <w:spacing w:after="0"/>
              <w:rPr>
                <w:sz w:val="11"/>
                <w:szCs w:val="11"/>
                <w:color w:val="auto"/>
              </w:rPr>
            </w:pPr>
          </w:p>
        </w:tc>
        <w:tc>
          <w:tcPr>
            <w:tcW w:w="12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Convertible</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Auction-Rate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Debt</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Derivative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Securities</w:t>
            </w:r>
          </w:p>
        </w:tc>
        <w:tc>
          <w:tcPr>
            <w:tcW w:w="520" w:type="dxa"/>
            <w:vAlign w:val="bottom"/>
          </w:tcPr>
          <w:p>
            <w:pPr>
              <w:spacing w:after="0"/>
              <w:rPr>
                <w:sz w:val="14"/>
                <w:szCs w:val="14"/>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3"/>
              </w:rPr>
              <w:t>Securities</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Contracts</w:t>
            </w:r>
          </w:p>
        </w:tc>
        <w:tc>
          <w:tcPr>
            <w:tcW w:w="220" w:type="dxa"/>
            <w:vAlign w:val="bottom"/>
          </w:tcPr>
          <w:p>
            <w:pPr>
              <w:spacing w:after="0"/>
              <w:rPr>
                <w:sz w:val="14"/>
                <w:szCs w:val="14"/>
                <w:color w:val="auto"/>
              </w:rPr>
            </w:pPr>
          </w:p>
        </w:tc>
        <w:tc>
          <w:tcPr>
            <w:tcW w:w="5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31, 2011</w:t>
            </w:r>
          </w:p>
        </w:tc>
        <w:tc>
          <w:tcPr>
            <w:tcW w:w="2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Purchases</w:t>
            </w:r>
          </w:p>
        </w:tc>
        <w:tc>
          <w:tcPr>
            <w:tcW w:w="2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17.5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2011</w:t>
            </w:r>
          </w:p>
        </w:tc>
        <w:tc>
          <w:tcPr>
            <w:tcW w:w="266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21.7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the nine months ended October 31, 2011, there were no transfers in or out, issuances, settlements, sales or realized/unrealized gains (losses) within Level 3 assets.</w:t>
      </w:r>
    </w:p>
    <w:p>
      <w:pPr>
        <w:spacing w:after="0" w:line="25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Stock-based Compensation Expense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Plans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October 31, 2011, Autodesk maintained two active stock plans for the purpose of granting equity awards to employees and to non-employee members of Autodesk’s Board of Directors: the 2008 Employee Stock Plan, as amended and restated (“2008 Plan”), which is available only to employees, and the 2010 Outside Directors’ Option Plan, as amended (“2010 Plan”), which is available only to non-employee directors. The exercise price of all stock options granted under these plans was equal to the fair market value of the stock on the grant date. Additionally, there are seven expired or terminated plans with options outstanding.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2008 Plan was approved by Autodesk’s stockholders in November 2007 and was amended in June 2010. As amended, the 2008 Plan reserves</w:t>
      </w:r>
    </w:p>
    <w:p>
      <w:pPr>
        <w:spacing w:after="0" w:line="38"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16.0 million shares of Autodesk common stock for issuance and will expire in June 2013. The 2008 Plan permits the grant of stock options, restricted stock units and restricted stock awards; however, no more than 2.5 million of the shares reserved for issuance under the 2008 Plan may be issued pursuant to awards of restricted stock and restricted stock units. Options and restricted stock units granted under the 2008 Plan vest over periods ranging from immediately upon grant to over a four year period, and options expire within seven to ten years from the date of grant. At October 31, 2011, the number of shares available for future issuance under the 2008 Plan was 9.4 million, of which 1.0 million shares were available for future grants of restricted stock.</w:t>
      </w:r>
    </w:p>
    <w:p>
      <w:pPr>
        <w:spacing w:after="0" w:line="11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2010 Plan, which was approved by Autodesk’s stockholders in June 2009, became effective in March 2010 and will expire in March 2020. The 2010 Plan permits the grant of stock options and restricted stock awards to non-employee members of Autodesk’s Board of Directors. Options and awards granted under the 2010 Plan vest over periods ranging from one year to four years, and options expire within seven years from the date of grant. The 2010 Plan reserves 3.0 million shares of Autodesk common stock. At October 31, 2011, 2.6 million shares were available for future issuance.</w:t>
      </w:r>
    </w:p>
    <w:p>
      <w:pPr>
        <w:spacing w:after="0" w:line="11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At a special meeting to be held on January 6, 2012, Autodesk is requesting that its stockholders approve the Autodesk 2012 Employee Stock Plan (“2012 Employee Plan”) and the Autodesk 2012 Outside Directors’ Stock Plan (“2012 Directors’ Plan”), which will replace the 2008 Plan and the 2010 Plan, respectively. If Autodesk’s stockholders approve the 2012 Employee Plan, the maximum aggregate number of shares of Common Stock which may be issued under the 2012 Employee Plan will be up to 21.2 million shares (which include shares then remaining in the 2008 plan as well as forfeited shares in certain prior employee stock plans). Upon approval of the 2012 Employee Plan, no further equity awards may be granted under the 2008 Plan. If Autodesk’s stockholders approve the 2012 Directors’ Plan, the number of shares of Common Stock reserved for issuance under the 2012 Directors’ Plan will be that number of shares remaining for issuance under the 2010 Plan as of as of January 6, 2012, not to exceed 2.6 million shares. Upon approval of the 2012 Directors’ Plan, no further equity awards may be granted under the 2010 Plan.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nine months ended October 31, 2011 is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14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Number of</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exercise price</w:t>
            </w:r>
          </w:p>
        </w:tc>
        <w:tc>
          <w:tcPr>
            <w:tcW w:w="0" w:type="dxa"/>
            <w:vAlign w:val="bottom"/>
          </w:tcPr>
          <w:p>
            <w:pPr>
              <w:spacing w:after="0"/>
              <w:rPr>
                <w:sz w:val="1"/>
                <w:szCs w:val="1"/>
                <w:color w:val="auto"/>
              </w:rPr>
            </w:pPr>
          </w:p>
        </w:tc>
      </w:tr>
      <w:tr>
        <w:trPr>
          <w:trHeight w:val="161"/>
        </w:trPr>
        <w:tc>
          <w:tcPr>
            <w:tcW w:w="7220" w:type="dxa"/>
            <w:vAlign w:val="bottom"/>
          </w:tcPr>
          <w:p>
            <w:pPr>
              <w:spacing w:after="0"/>
              <w:rPr>
                <w:sz w:val="14"/>
                <w:szCs w:val="14"/>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142"/>
        </w:trPr>
        <w:tc>
          <w:tcPr>
            <w:tcW w:w="72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31, 2011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44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tcPr>
          <w:p>
            <w:pPr>
              <w:ind w:left="440"/>
              <w:spacing w:after="0"/>
              <w:rPr>
                <w:sz w:val="20"/>
                <w:szCs w:val="20"/>
                <w:color w:val="auto"/>
              </w:rPr>
            </w:pPr>
            <w:r>
              <w:rPr>
                <w:rFonts w:ascii="Arial" w:cs="Arial" w:eastAsia="Arial" w:hAnsi="Arial"/>
                <w:sz w:val="18"/>
                <w:szCs w:val="18"/>
                <w:color w:val="auto"/>
              </w:rPr>
              <w:t>Cancelled</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October 31, 2011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color w:val="auto"/>
              </w:rPr>
              <w:t>Options exercisable at October 31, 2011</w:t>
            </w: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20" w:type="dxa"/>
            <w:vAlign w:val="bottom"/>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7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grant at October 31, 2011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of October 31, 2011, total compensation cost of $85.9 million related to non-vested options is expected to be recognized over a weighted average period of 1.9 years. The following table summarizes information about the pre-tax intrinsic value of options exercised, and the weighted average grant date fair value per share of options granted, during the three and nine months ended October 31, 2011, and 2010.</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3"/>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ind w:left="48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5"/>
              </w:rPr>
              <w:t>October 31, 2011</w:t>
            </w:r>
          </w:p>
        </w:tc>
        <w:tc>
          <w:tcPr>
            <w:tcW w:w="780" w:type="dxa"/>
            <w:vAlign w:val="bottom"/>
          </w:tcPr>
          <w:p>
            <w:pPr>
              <w:spacing w:after="0"/>
              <w:rPr>
                <w:sz w:val="14"/>
                <w:szCs w:val="14"/>
                <w:color w:val="auto"/>
              </w:rPr>
            </w:pPr>
          </w:p>
        </w:tc>
        <w:tc>
          <w:tcPr>
            <w:tcW w:w="180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31, 2010</w:t>
            </w: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October 31, 2011</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4"/>
              </w:rPr>
              <w:t>October 31, 2010</w:t>
            </w:r>
          </w:p>
        </w:tc>
      </w:tr>
      <w:tr>
        <w:trPr>
          <w:trHeight w:val="210"/>
        </w:trPr>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Pre-tax intrinsic value of options exercised</w:t>
            </w:r>
            <w:r>
              <w:rPr>
                <w:rFonts w:ascii="Arial" w:cs="Arial" w:eastAsia="Arial" w:hAnsi="Arial"/>
                <w:sz w:val="11"/>
                <w:szCs w:val="11"/>
                <w:color w:val="auto"/>
              </w:rPr>
              <w:t>(1)</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8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4100" w:type="dxa"/>
            <w:vAlign w:val="bottom"/>
          </w:tcPr>
          <w:p>
            <w:pPr>
              <w:spacing w:after="0"/>
              <w:rPr>
                <w:sz w:val="20"/>
                <w:szCs w:val="20"/>
                <w:color w:val="auto"/>
              </w:rPr>
            </w:pPr>
            <w:r>
              <w:rPr>
                <w:rFonts w:ascii="Arial" w:cs="Arial" w:eastAsia="Arial" w:hAnsi="Arial"/>
                <w:sz w:val="18"/>
                <w:szCs w:val="18"/>
                <w:color w:val="auto"/>
              </w:rPr>
              <w:t>Weighted average grant date fair value per</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100" w:type="dxa"/>
            <w:vAlign w:val="bottom"/>
          </w:tcPr>
          <w:p>
            <w:pPr>
              <w:ind w:left="220"/>
              <w:spacing w:after="0"/>
              <w:rPr>
                <w:sz w:val="20"/>
                <w:szCs w:val="20"/>
                <w:color w:val="auto"/>
              </w:rPr>
            </w:pPr>
            <w:r>
              <w:rPr>
                <w:rFonts w:ascii="Arial" w:cs="Arial" w:eastAsia="Arial" w:hAnsi="Arial"/>
                <w:sz w:val="18"/>
                <w:szCs w:val="18"/>
                <w:color w:val="auto"/>
              </w:rPr>
              <w:t>share of stock options granted</w:t>
            </w:r>
            <w:r>
              <w:rPr>
                <w:rFonts w:ascii="Arial" w:cs="Arial" w:eastAsia="Arial" w:hAnsi="Arial"/>
                <w:sz w:val="11"/>
                <w:szCs w:val="11"/>
                <w:color w:val="auto"/>
              </w:rPr>
              <w:t>(2)</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10.45</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10.93</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14.06</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40" w:hanging="452"/>
        <w:spacing w:after="0" w:line="228"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The intrinsic value of options exercised is calculated as the difference between the exercise price of the option and the market value of the stock on the date of exercise.</w:t>
      </w:r>
    </w:p>
    <w:p>
      <w:pPr>
        <w:spacing w:after="0" w:line="1" w:lineRule="exact"/>
        <w:rPr>
          <w:rFonts w:ascii="Arial" w:cs="Arial" w:eastAsia="Arial" w:hAnsi="Arial"/>
          <w:sz w:val="22"/>
          <w:szCs w:val="22"/>
          <w:color w:val="auto"/>
          <w:vertAlign w:val="superscript"/>
        </w:rPr>
      </w:pPr>
    </w:p>
    <w:p>
      <w:pPr>
        <w:ind w:left="460" w:right="120" w:hanging="452"/>
        <w:spacing w:after="0" w:line="225"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The weighted average grant date fair value of stock options granted is calculated, as of the stock option grant date, using the Black-Scholes-Merton option pricing model.</w:t>
      </w:r>
    </w:p>
    <w:p>
      <w:pPr>
        <w:spacing w:after="0" w:line="156"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The following table summarizes information about options outstanding and exercisable at October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Options Exercisable</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Weighted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Weighted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Weighted</w:t>
            </w:r>
          </w:p>
        </w:tc>
        <w:tc>
          <w:tcPr>
            <w:tcW w:w="9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average</w:t>
            </w: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Weighted</w:t>
            </w: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34"/>
        </w:trPr>
        <w:tc>
          <w:tcPr>
            <w:tcW w:w="43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7"/>
              </w:rPr>
              <w:t>contractual</w:t>
            </w: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1"/>
                <w:szCs w:val="11"/>
                <w:color w:val="auto"/>
              </w:rPr>
            </w:pPr>
          </w:p>
        </w:tc>
        <w:tc>
          <w:tcPr>
            <w:tcW w:w="8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intrinsic</w:t>
            </w: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7"/>
              </w:rPr>
              <w:t>contractual</w:t>
            </w: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1"/>
                <w:szCs w:val="11"/>
                <w:color w:val="auto"/>
              </w:rPr>
            </w:pPr>
          </w:p>
        </w:tc>
        <w:tc>
          <w:tcPr>
            <w:tcW w:w="7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intrinsic</w:t>
            </w:r>
          </w:p>
        </w:tc>
      </w:tr>
      <w:tr>
        <w:trPr>
          <w:trHeight w:val="163"/>
        </w:trPr>
        <w:tc>
          <w:tcPr>
            <w:tcW w:w="43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life</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exercise</w:t>
            </w:r>
          </w:p>
        </w:tc>
        <w:tc>
          <w:tcPr>
            <w:tcW w:w="100" w:type="dxa"/>
            <w:vAlign w:val="bottom"/>
          </w:tcPr>
          <w:p>
            <w:pPr>
              <w:spacing w:after="0"/>
              <w:rPr>
                <w:sz w:val="14"/>
                <w:szCs w:val="14"/>
                <w:color w:val="auto"/>
              </w:rPr>
            </w:pPr>
          </w:p>
        </w:tc>
        <w:tc>
          <w:tcPr>
            <w:tcW w:w="840" w:type="dxa"/>
            <w:vAlign w:val="bottom"/>
            <w:gridSpan w:val="2"/>
          </w:tcPr>
          <w:p>
            <w:pPr>
              <w:jc w:val="center"/>
              <w:ind w:right="400"/>
              <w:spacing w:after="0" w:line="163" w:lineRule="exact"/>
              <w:rPr>
                <w:sz w:val="20"/>
                <w:szCs w:val="20"/>
                <w:color w:val="auto"/>
              </w:rPr>
            </w:pPr>
            <w:r>
              <w:rPr>
                <w:rFonts w:ascii="Arial" w:cs="Arial" w:eastAsia="Arial" w:hAnsi="Arial"/>
                <w:sz w:val="12"/>
                <w:szCs w:val="12"/>
                <w:b w:val="1"/>
                <w:bCs w:val="1"/>
                <w:color w:val="auto"/>
                <w:w w:val="96"/>
              </w:rPr>
              <w:t>value</w:t>
            </w:r>
            <w:r>
              <w:rPr>
                <w:rFonts w:ascii="Arial" w:cs="Arial" w:eastAsia="Arial" w:hAnsi="Arial"/>
                <w:sz w:val="18"/>
                <w:szCs w:val="18"/>
                <w:b w:val="1"/>
                <w:bCs w:val="1"/>
                <w:color w:val="auto"/>
                <w:w w:val="96"/>
                <w:vertAlign w:val="superscript"/>
              </w:rPr>
              <w:t>(1)</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Shares</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life</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exercise</w:t>
            </w:r>
          </w:p>
        </w:tc>
        <w:tc>
          <w:tcPr>
            <w:tcW w:w="100" w:type="dxa"/>
            <w:vAlign w:val="bottom"/>
          </w:tcPr>
          <w:p>
            <w:pPr>
              <w:spacing w:after="0"/>
              <w:rPr>
                <w:sz w:val="14"/>
                <w:szCs w:val="14"/>
                <w:color w:val="auto"/>
              </w:rPr>
            </w:pPr>
          </w:p>
        </w:tc>
        <w:tc>
          <w:tcPr>
            <w:tcW w:w="700" w:type="dxa"/>
            <w:vAlign w:val="bottom"/>
            <w:gridSpan w:val="2"/>
          </w:tcPr>
          <w:p>
            <w:pPr>
              <w:jc w:val="center"/>
              <w:ind w:right="220"/>
              <w:spacing w:after="0" w:line="163" w:lineRule="exact"/>
              <w:rPr>
                <w:sz w:val="20"/>
                <w:szCs w:val="20"/>
                <w:color w:val="auto"/>
              </w:rPr>
            </w:pPr>
            <w:r>
              <w:rPr>
                <w:rFonts w:ascii="Arial" w:cs="Arial" w:eastAsia="Arial" w:hAnsi="Arial"/>
                <w:sz w:val="12"/>
                <w:szCs w:val="12"/>
                <w:b w:val="1"/>
                <w:bCs w:val="1"/>
                <w:color w:val="auto"/>
                <w:w w:val="96"/>
              </w:rPr>
              <w:t>value</w:t>
            </w:r>
            <w:r>
              <w:rPr>
                <w:rFonts w:ascii="Arial" w:cs="Arial" w:eastAsia="Arial" w:hAnsi="Arial"/>
                <w:sz w:val="18"/>
                <w:szCs w:val="18"/>
                <w:b w:val="1"/>
                <w:bCs w:val="1"/>
                <w:color w:val="auto"/>
                <w:w w:val="96"/>
                <w:vertAlign w:val="superscript"/>
              </w:rPr>
              <w:t>(1)</w:t>
            </w:r>
          </w:p>
        </w:tc>
      </w:tr>
      <w:tr>
        <w:trPr>
          <w:trHeight w:val="161"/>
        </w:trPr>
        <w:tc>
          <w:tcPr>
            <w:tcW w:w="43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2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years)</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price</w:t>
            </w:r>
          </w:p>
        </w:tc>
        <w:tc>
          <w:tcPr>
            <w:tcW w:w="9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 millions)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millions)</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 years)</w:t>
            </w: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price</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(in millions)</w:t>
            </w: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Range of per-share exercise prices:</w:t>
            </w: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8"/>
                <w:szCs w:val="18"/>
                <w:color w:val="auto"/>
              </w:rPr>
              <w:t>$0.61 — $17.37</w:t>
            </w: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$ 12.89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$ 13.57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$17.39 — $29.49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8"/>
                <w:szCs w:val="18"/>
                <w:color w:val="auto"/>
              </w:rPr>
              <w:t>$29.50 — $37.16</w:t>
            </w: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$37.26 — $41.62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380" w:type="dxa"/>
            <w:vAlign w:val="bottom"/>
          </w:tcPr>
          <w:p>
            <w:pPr>
              <w:ind w:left="440"/>
              <w:spacing w:after="0"/>
              <w:rPr>
                <w:sz w:val="20"/>
                <w:szCs w:val="20"/>
                <w:color w:val="auto"/>
              </w:rPr>
            </w:pPr>
            <w:r>
              <w:rPr>
                <w:rFonts w:ascii="Arial" w:cs="Arial" w:eastAsia="Arial" w:hAnsi="Arial"/>
                <w:sz w:val="18"/>
                <w:szCs w:val="18"/>
                <w:color w:val="auto"/>
              </w:rPr>
              <w:t>$41.70 — $49.80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45.75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$ 31.12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$ 31.42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00" w:type="dxa"/>
            <w:vAlign w:val="bottom"/>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300" w:hanging="452"/>
        <w:spacing w:after="0" w:line="228" w:lineRule="auto"/>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Represents the total pre-tax intrinsic value, based on Autodesk’s closing stock price of $34.60 per share as of October 31, 2011, which would have been received by the option holders had all option holders exercised their options as of that date.</w:t>
      </w:r>
    </w:p>
    <w:p>
      <w:pPr>
        <w:spacing w:after="0" w:line="157"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These options will expire if not exercised at specific dates ranging through September 2021.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award and restricted stock unit activity for the nine months ended October 31, 2011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5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Unreleased</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average grant</w:t>
            </w: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5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Restricted</w:t>
            </w: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date fair value</w:t>
            </w: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5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per share</w:t>
            </w: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Unreleased restricted stock at January 31, 2011</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1,426.7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Awarded</w:t>
            </w: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rPr>
              <w:t>950.2</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Released</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(139.7)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Unreleased restricted stock at October 31, 2011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2,156.0</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During the nine months ended October 31, 2011, Autodesk granted approximately 934,200 restricted stock units under the 2008 Plan. The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expensed ratably over the vesting period. Autodesk recorded stock-based compensation expense related to restricted stock units of $6.9 million and $20.5 million during three and nine months ended October 31, 2011, respectively. Autodesk recorded stock-based compensation related to restricted stock units of $1.9 million and $5.8 million, during the three and nine months ended October 31, 2010, respectively. As of October 31, 2011, total compensation cost not yet recognized of $36.4 million related to non-vested restricted stock units, is expected to be recognized over a weighted average period of 1.2 years. At October 31, 2011, the number of restricted stock units granted but unreleased was 2.1 million.</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nine months ended October 31, 2011, Autodesk granted 16,000 restricted stock awards under the 2010 Plan. Restricted stock awards granted under the 2010 Plan vest on the date of the next annual meeting. Restricted stock awards are considered outstanding at the time of grant, as the stock award holders are entitled to many of the rights of a stockholder, including voting rights. The fair value of the restricted stock awards is expensed ratably over the vesting period. Autodesk recorded stock-based compensation expense related to restricted stock awards of $0.1 million and $0.5 million during the three and nine months ended October 31, 2011, respectively. Autodesk recorded stock-based compensation expense related to restricted stock awards of $0.1 million and $0.5 million during the three and nine months ended October 31, 2010, respectively. As of October 31, 2011, total compensation cost not yet recognized of $0.3 million related to non-vested restricted stock awards, is expected to be recognized over a weighted average period of 0.6 years. At October 31, 2011, the number of restricted stock awards granted but unreleased was 16,000.</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Autodesk’s ESP Plan, which was approved by stockholders in 1998, eligible employees may purchase shares of Autodesk’s common stock at their discretion using up to 15% of their eligible compensation subject to certain limitations, at not less than 85% of fair market value as defined in the ESP Plan. At October 31, 2011, a total of 29.7 million shares were available for future issuance. This amount automatically increases on the first trading day of each fiscal year by an amount equal to the lesser of 10.0 million shares or 2.0%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44"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Autodesk issued 1.0 million shares and 2.8 million shares under the ESP Plan during the three and nine months ended October 31, 2011, respectively, at average prices of $23.52 and $18.26 per share, respectively. During the three and nine months ended October 31, 2010, Autodesk issued 1.5 million and</w:t>
      </w:r>
    </w:p>
    <w:p>
      <w:pPr>
        <w:ind w:right="40"/>
        <w:spacing w:after="0" w:line="253" w:lineRule="auto"/>
        <w:rPr>
          <w:sz w:val="20"/>
          <w:szCs w:val="20"/>
          <w:color w:val="auto"/>
        </w:rPr>
      </w:pPr>
      <w:r>
        <w:rPr>
          <w:rFonts w:ascii="Arial" w:cs="Arial" w:eastAsia="Arial" w:hAnsi="Arial"/>
          <w:sz w:val="18"/>
          <w:szCs w:val="18"/>
          <w:color w:val="auto"/>
        </w:rPr>
        <w:t>3.2 million shares under the ESP Plan, respectively, at average prices of $14.91 and $14.77 per share, respectively. The weighted average grant date fair value of awards granted under the ESP Plan during the three and nine months ended October 31, 2011, calculated as of the award grant date using the Black-Scholes-Merton option pricing model, was $10.74 and $9.07 per share, respectively. The weighted average grant date fair value of awards granted under the ESP Plan during the three and nine months ended October 31, 2010, calculated as of the award grant date using the Black-Scholes-Merton option pricing model, was $7.60 and $7.22 per share, respectively.</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summarizes stock-based compensation expense for the three and nine months ended October 31, 2011 and 2010, respectively,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9"/>
              </w:rPr>
              <w:t>Three Months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October 31,</w:t>
            </w:r>
          </w:p>
        </w:tc>
        <w:tc>
          <w:tcPr>
            <w:tcW w:w="54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Ended October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2011</w:t>
            </w:r>
          </w:p>
        </w:tc>
        <w:tc>
          <w:tcPr>
            <w:tcW w:w="5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license and other 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Marketing and sales</w:t>
            </w:r>
          </w:p>
        </w:tc>
        <w:tc>
          <w:tcPr>
            <w:tcW w:w="12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11.7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Tax benefit</w:t>
            </w:r>
          </w:p>
        </w:tc>
        <w:tc>
          <w:tcPr>
            <w:tcW w:w="120" w:type="dxa"/>
            <w:vAlign w:val="bottom"/>
          </w:tcPr>
          <w:p>
            <w:pPr>
              <w:spacing w:after="0"/>
              <w:rPr>
                <w:sz w:val="19"/>
                <w:szCs w:val="19"/>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(5.9)</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5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Nine Months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October 31,</w:t>
            </w:r>
          </w:p>
        </w:tc>
        <w:tc>
          <w:tcPr>
            <w:tcW w:w="54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Ended October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2011</w:t>
            </w:r>
          </w:p>
        </w:tc>
        <w:tc>
          <w:tcPr>
            <w:tcW w:w="5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license and other 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Marketing and sales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Tax benefit</w:t>
            </w:r>
          </w:p>
        </w:tc>
        <w:tc>
          <w:tcPr>
            <w:tcW w:w="120" w:type="dxa"/>
            <w:vAlign w:val="bottom"/>
          </w:tcPr>
          <w:p>
            <w:pPr>
              <w:spacing w:after="0"/>
              <w:rPr>
                <w:sz w:val="19"/>
                <w:szCs w:val="19"/>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(19.3)</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5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jc w:val="right"/>
              <w:ind w:right="1652"/>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0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Autodesk uses the Black-Scholes-Merton option-pricing model to estimate the fair value of stock-based awards based on the following assumptions: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080" w:type="dxa"/>
            <w:vAlign w:val="bottom"/>
            <w:gridSpan w:val="4"/>
          </w:tcPr>
          <w:p>
            <w:pPr>
              <w:ind w:left="520"/>
              <w:spacing w:after="0"/>
              <w:rPr>
                <w:sz w:val="20"/>
                <w:szCs w:val="20"/>
                <w:color w:val="auto"/>
              </w:rPr>
            </w:pPr>
            <w:r>
              <w:rPr>
                <w:rFonts w:ascii="Arial" w:cs="Arial" w:eastAsia="Arial" w:hAnsi="Arial"/>
                <w:sz w:val="14"/>
                <w:szCs w:val="14"/>
                <w:b w:val="1"/>
                <w:bCs w:val="1"/>
                <w:color w:val="auto"/>
              </w:rPr>
              <w:t>Three Months</w:t>
            </w:r>
          </w:p>
        </w:tc>
        <w:tc>
          <w:tcPr>
            <w:tcW w:w="340" w:type="dxa"/>
            <w:vAlign w:val="bottom"/>
          </w:tcPr>
          <w:p>
            <w:pPr>
              <w:spacing w:after="0"/>
              <w:rPr>
                <w:sz w:val="14"/>
                <w:szCs w:val="14"/>
                <w:color w:val="auto"/>
              </w:rPr>
            </w:pPr>
          </w:p>
        </w:tc>
        <w:tc>
          <w:tcPr>
            <w:tcW w:w="1120" w:type="dxa"/>
            <w:vAlign w:val="bottom"/>
            <w:gridSpan w:val="3"/>
          </w:tcPr>
          <w:p>
            <w:pPr>
              <w:jc w:val="center"/>
              <w:ind w:left="180"/>
              <w:spacing w:after="0"/>
              <w:rPr>
                <w:sz w:val="20"/>
                <w:szCs w:val="20"/>
                <w:color w:val="auto"/>
              </w:rPr>
            </w:pPr>
            <w:r>
              <w:rPr>
                <w:rFonts w:ascii="Arial" w:cs="Arial" w:eastAsia="Arial" w:hAnsi="Arial"/>
                <w:sz w:val="14"/>
                <w:szCs w:val="14"/>
                <w:b w:val="1"/>
                <w:bCs w:val="1"/>
                <w:color w:val="auto"/>
                <w:w w:val="89"/>
              </w:rPr>
              <w:t>Three Months</w:t>
            </w:r>
          </w:p>
        </w:tc>
        <w:tc>
          <w:tcPr>
            <w:tcW w:w="600" w:type="dxa"/>
            <w:vAlign w:val="bottom"/>
          </w:tcPr>
          <w:p>
            <w:pPr>
              <w:spacing w:after="0"/>
              <w:rPr>
                <w:sz w:val="14"/>
                <w:szCs w:val="14"/>
                <w:color w:val="auto"/>
              </w:rPr>
            </w:pPr>
          </w:p>
        </w:tc>
      </w:tr>
      <w:tr>
        <w:trPr>
          <w:trHeight w:val="161"/>
        </w:trPr>
        <w:tc>
          <w:tcPr>
            <w:tcW w:w="7280" w:type="dxa"/>
            <w:vAlign w:val="bottom"/>
          </w:tcPr>
          <w:p>
            <w:pPr>
              <w:spacing w:after="0"/>
              <w:rPr>
                <w:sz w:val="14"/>
                <w:szCs w:val="14"/>
                <w:color w:val="auto"/>
              </w:rPr>
            </w:pPr>
          </w:p>
        </w:tc>
        <w:tc>
          <w:tcPr>
            <w:tcW w:w="2080" w:type="dxa"/>
            <w:vAlign w:val="bottom"/>
            <w:gridSpan w:val="4"/>
          </w:tcPr>
          <w:p>
            <w:pPr>
              <w:ind w:left="260"/>
              <w:spacing w:after="0"/>
              <w:rPr>
                <w:sz w:val="20"/>
                <w:szCs w:val="20"/>
                <w:color w:val="auto"/>
              </w:rPr>
            </w:pPr>
            <w:r>
              <w:rPr>
                <w:rFonts w:ascii="Arial" w:cs="Arial" w:eastAsia="Arial" w:hAnsi="Arial"/>
                <w:sz w:val="14"/>
                <w:szCs w:val="14"/>
                <w:b w:val="1"/>
                <w:bCs w:val="1"/>
                <w:color w:val="auto"/>
              </w:rPr>
              <w:t>Ended October 31, 2011</w:t>
            </w:r>
          </w:p>
        </w:tc>
        <w:tc>
          <w:tcPr>
            <w:tcW w:w="340" w:type="dxa"/>
            <w:vAlign w:val="bottom"/>
          </w:tcPr>
          <w:p>
            <w:pPr>
              <w:spacing w:after="0"/>
              <w:rPr>
                <w:sz w:val="14"/>
                <w:szCs w:val="14"/>
                <w:color w:val="auto"/>
              </w:rPr>
            </w:pPr>
          </w:p>
        </w:tc>
        <w:tc>
          <w:tcPr>
            <w:tcW w:w="172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86"/>
              </w:rPr>
              <w:t>Ended October 31, 2010</w:t>
            </w:r>
          </w:p>
        </w:tc>
      </w:tr>
      <w:tr>
        <w:trPr>
          <w:trHeight w:val="129"/>
        </w:trPr>
        <w:tc>
          <w:tcPr>
            <w:tcW w:w="7280" w:type="dxa"/>
            <w:vAlign w:val="bottom"/>
          </w:tcPr>
          <w:p>
            <w:pPr>
              <w:spacing w:after="0"/>
              <w:rPr>
                <w:sz w:val="11"/>
                <w:szCs w:val="11"/>
                <w:color w:val="auto"/>
              </w:rPr>
            </w:pPr>
          </w:p>
        </w:tc>
        <w:tc>
          <w:tcPr>
            <w:tcW w:w="104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Stock Option</w:t>
            </w: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3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61"/>
        </w:trPr>
        <w:tc>
          <w:tcPr>
            <w:tcW w:w="7280" w:type="dxa"/>
            <w:vAlign w:val="bottom"/>
          </w:tcPr>
          <w:p>
            <w:pPr>
              <w:spacing w:after="0"/>
              <w:rPr>
                <w:sz w:val="14"/>
                <w:szCs w:val="14"/>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Plans</w:t>
            </w: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ESP Plan</w:t>
            </w: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Plans</w:t>
            </w: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ESP Plan</w:t>
            </w:r>
          </w:p>
        </w:tc>
      </w:tr>
      <w:tr>
        <w:trPr>
          <w:trHeight w:val="210"/>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Range of expected volatilities</w:t>
            </w: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43 - 45%</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40 - 44%</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- 44%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- 47%</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Range of expected lives (in years)</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3.6 - 4.8</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0.5 - 2.0</w:t>
            </w:r>
          </w:p>
        </w:tc>
        <w:tc>
          <w:tcPr>
            <w:tcW w:w="2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7"/>
              </w:rPr>
              <w:t>3.5 - 4.4</w:t>
            </w:r>
          </w:p>
        </w:tc>
        <w:tc>
          <w:tcPr>
            <w:tcW w:w="2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0"/>
              </w:rPr>
              <w:t>0.5 - 2.0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right="260"/>
              <w:spacing w:after="0"/>
              <w:rPr>
                <w:sz w:val="20"/>
                <w:szCs w:val="20"/>
                <w:color w:val="auto"/>
              </w:rPr>
            </w:pPr>
            <w:r>
              <w:rPr>
                <w:rFonts w:ascii="Arial" w:cs="Arial" w:eastAsia="Arial" w:hAnsi="Arial"/>
                <w:sz w:val="18"/>
                <w:szCs w:val="18"/>
                <w:color w:val="auto"/>
                <w:w w:val="92"/>
              </w:rPr>
              <w:t>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2"/>
              </w:rPr>
              <w:t>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Range of risk-free interest rates</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0.5 - 0.9%</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0.1 - 0.3%</w:t>
            </w: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0.9</w:t>
            </w:r>
          </w:p>
        </w:tc>
        <w:tc>
          <w:tcPr>
            <w:tcW w:w="580" w:type="dxa"/>
            <w:vAlign w:val="bottom"/>
          </w:tcPr>
          <w:p>
            <w:pPr>
              <w:ind w:left="20"/>
              <w:spacing w:after="0"/>
              <w:rPr>
                <w:sz w:val="20"/>
                <w:szCs w:val="20"/>
                <w:color w:val="auto"/>
              </w:rPr>
            </w:pPr>
            <w:r>
              <w:rPr>
                <w:rFonts w:ascii="Arial" w:cs="Arial" w:eastAsia="Arial" w:hAnsi="Arial"/>
                <w:sz w:val="18"/>
                <w:szCs w:val="18"/>
                <w:color w:val="auto"/>
              </w:rPr>
              <w:t>- 1.2%</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ind w:left="40"/>
              <w:spacing w:after="0"/>
              <w:rPr>
                <w:sz w:val="20"/>
                <w:szCs w:val="20"/>
                <w:color w:val="auto"/>
              </w:rPr>
            </w:pPr>
            <w:r>
              <w:rPr>
                <w:rFonts w:ascii="Arial" w:cs="Arial" w:eastAsia="Arial" w:hAnsi="Arial"/>
                <w:sz w:val="18"/>
                <w:szCs w:val="18"/>
                <w:color w:val="auto"/>
              </w:rPr>
              <w:t>- 0.5%</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10.5%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10.5%</w:t>
            </w:r>
          </w:p>
        </w:tc>
      </w:tr>
      <w:tr>
        <w:trPr>
          <w:trHeight w:val="352"/>
        </w:trPr>
        <w:tc>
          <w:tcPr>
            <w:tcW w:w="7280" w:type="dxa"/>
            <w:vAlign w:val="bottom"/>
          </w:tcPr>
          <w:p>
            <w:pPr>
              <w:spacing w:after="0"/>
              <w:rPr>
                <w:sz w:val="24"/>
                <w:szCs w:val="24"/>
                <w:color w:val="auto"/>
              </w:rPr>
            </w:pPr>
          </w:p>
        </w:tc>
        <w:tc>
          <w:tcPr>
            <w:tcW w:w="2080" w:type="dxa"/>
            <w:vAlign w:val="bottom"/>
            <w:gridSpan w:val="4"/>
          </w:tcPr>
          <w:p>
            <w:pPr>
              <w:ind w:left="560"/>
              <w:spacing w:after="0"/>
              <w:rPr>
                <w:sz w:val="20"/>
                <w:szCs w:val="20"/>
                <w:color w:val="auto"/>
              </w:rPr>
            </w:pPr>
            <w:r>
              <w:rPr>
                <w:rFonts w:ascii="Arial" w:cs="Arial" w:eastAsia="Arial" w:hAnsi="Arial"/>
                <w:sz w:val="14"/>
                <w:szCs w:val="14"/>
                <w:b w:val="1"/>
                <w:bCs w:val="1"/>
                <w:color w:val="auto"/>
              </w:rPr>
              <w:t>Nine Months</w:t>
            </w:r>
          </w:p>
        </w:tc>
        <w:tc>
          <w:tcPr>
            <w:tcW w:w="340" w:type="dxa"/>
            <w:vAlign w:val="bottom"/>
          </w:tcPr>
          <w:p>
            <w:pPr>
              <w:spacing w:after="0"/>
              <w:rPr>
                <w:sz w:val="24"/>
                <w:szCs w:val="24"/>
                <w:color w:val="auto"/>
              </w:rPr>
            </w:pPr>
          </w:p>
        </w:tc>
        <w:tc>
          <w:tcPr>
            <w:tcW w:w="1120" w:type="dxa"/>
            <w:vAlign w:val="bottom"/>
            <w:gridSpan w:val="3"/>
          </w:tcPr>
          <w:p>
            <w:pPr>
              <w:jc w:val="center"/>
              <w:ind w:left="180"/>
              <w:spacing w:after="0"/>
              <w:rPr>
                <w:sz w:val="20"/>
                <w:szCs w:val="20"/>
                <w:color w:val="auto"/>
              </w:rPr>
            </w:pPr>
            <w:r>
              <w:rPr>
                <w:rFonts w:ascii="Arial" w:cs="Arial" w:eastAsia="Arial" w:hAnsi="Arial"/>
                <w:sz w:val="14"/>
                <w:szCs w:val="14"/>
                <w:b w:val="1"/>
                <w:bCs w:val="1"/>
                <w:color w:val="auto"/>
                <w:w w:val="88"/>
              </w:rPr>
              <w:t>Nine Months</w:t>
            </w:r>
          </w:p>
        </w:tc>
        <w:tc>
          <w:tcPr>
            <w:tcW w:w="600" w:type="dxa"/>
            <w:vAlign w:val="bottom"/>
          </w:tcPr>
          <w:p>
            <w:pPr>
              <w:spacing w:after="0"/>
              <w:rPr>
                <w:sz w:val="24"/>
                <w:szCs w:val="24"/>
                <w:color w:val="auto"/>
              </w:rPr>
            </w:pPr>
          </w:p>
        </w:tc>
      </w:tr>
      <w:tr>
        <w:trPr>
          <w:trHeight w:val="161"/>
        </w:trPr>
        <w:tc>
          <w:tcPr>
            <w:tcW w:w="7280" w:type="dxa"/>
            <w:vAlign w:val="bottom"/>
          </w:tcPr>
          <w:p>
            <w:pPr>
              <w:spacing w:after="0"/>
              <w:rPr>
                <w:sz w:val="14"/>
                <w:szCs w:val="14"/>
                <w:color w:val="auto"/>
              </w:rPr>
            </w:pPr>
          </w:p>
        </w:tc>
        <w:tc>
          <w:tcPr>
            <w:tcW w:w="2080" w:type="dxa"/>
            <w:vAlign w:val="bottom"/>
            <w:gridSpan w:val="4"/>
          </w:tcPr>
          <w:p>
            <w:pPr>
              <w:ind w:left="260"/>
              <w:spacing w:after="0"/>
              <w:rPr>
                <w:sz w:val="20"/>
                <w:szCs w:val="20"/>
                <w:color w:val="auto"/>
              </w:rPr>
            </w:pPr>
            <w:r>
              <w:rPr>
                <w:rFonts w:ascii="Arial" w:cs="Arial" w:eastAsia="Arial" w:hAnsi="Arial"/>
                <w:sz w:val="14"/>
                <w:szCs w:val="14"/>
                <w:b w:val="1"/>
                <w:bCs w:val="1"/>
                <w:color w:val="auto"/>
              </w:rPr>
              <w:t>Ended October 31, 2011</w:t>
            </w:r>
          </w:p>
        </w:tc>
        <w:tc>
          <w:tcPr>
            <w:tcW w:w="340" w:type="dxa"/>
            <w:vAlign w:val="bottom"/>
          </w:tcPr>
          <w:p>
            <w:pPr>
              <w:spacing w:after="0"/>
              <w:rPr>
                <w:sz w:val="14"/>
                <w:szCs w:val="14"/>
                <w:color w:val="auto"/>
              </w:rPr>
            </w:pPr>
          </w:p>
        </w:tc>
        <w:tc>
          <w:tcPr>
            <w:tcW w:w="172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86"/>
              </w:rPr>
              <w:t>Ended October 31, 2010</w:t>
            </w:r>
          </w:p>
        </w:tc>
      </w:tr>
      <w:tr>
        <w:trPr>
          <w:trHeight w:val="129"/>
        </w:trPr>
        <w:tc>
          <w:tcPr>
            <w:tcW w:w="7280" w:type="dxa"/>
            <w:vAlign w:val="bottom"/>
          </w:tcPr>
          <w:p>
            <w:pPr>
              <w:spacing w:after="0"/>
              <w:rPr>
                <w:sz w:val="11"/>
                <w:szCs w:val="11"/>
                <w:color w:val="auto"/>
              </w:rPr>
            </w:pPr>
          </w:p>
        </w:tc>
        <w:tc>
          <w:tcPr>
            <w:tcW w:w="104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Stock Option</w:t>
            </w: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3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61"/>
        </w:trPr>
        <w:tc>
          <w:tcPr>
            <w:tcW w:w="7280" w:type="dxa"/>
            <w:vAlign w:val="bottom"/>
          </w:tcPr>
          <w:p>
            <w:pPr>
              <w:spacing w:after="0"/>
              <w:rPr>
                <w:sz w:val="14"/>
                <w:szCs w:val="14"/>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Plans</w:t>
            </w: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ESP Plan</w:t>
            </w: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Plans</w:t>
            </w: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ESP Plan</w:t>
            </w:r>
          </w:p>
        </w:tc>
      </w:tr>
      <w:tr>
        <w:trPr>
          <w:trHeight w:val="210"/>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Range of expected volatilities</w:t>
            </w: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40 - 45%</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34 - 44%</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- 44%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- 47%</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Range of expected lives (in years)</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2.6 - 4.8</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0.5 - 2.0</w:t>
            </w:r>
          </w:p>
        </w:tc>
        <w:tc>
          <w:tcPr>
            <w:tcW w:w="2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7"/>
              </w:rPr>
              <w:t>2.7 - 4.4</w:t>
            </w:r>
          </w:p>
        </w:tc>
        <w:tc>
          <w:tcPr>
            <w:tcW w:w="2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0"/>
              </w:rPr>
              <w:t>0.5 - 2.0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right="260"/>
              <w:spacing w:after="0"/>
              <w:rPr>
                <w:sz w:val="20"/>
                <w:szCs w:val="20"/>
                <w:color w:val="auto"/>
              </w:rPr>
            </w:pPr>
            <w:r>
              <w:rPr>
                <w:rFonts w:ascii="Arial" w:cs="Arial" w:eastAsia="Arial" w:hAnsi="Arial"/>
                <w:sz w:val="18"/>
                <w:szCs w:val="18"/>
                <w:color w:val="auto"/>
                <w:w w:val="92"/>
              </w:rPr>
              <w:t>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2"/>
              </w:rPr>
              <w:t>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Range of risk-free interest rates</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0.5 - 1.9%</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0.1 - 0.8%</w:t>
            </w: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0.9</w:t>
            </w:r>
          </w:p>
        </w:tc>
        <w:tc>
          <w:tcPr>
            <w:tcW w:w="580" w:type="dxa"/>
            <w:vAlign w:val="bottom"/>
          </w:tcPr>
          <w:p>
            <w:pPr>
              <w:ind w:left="20"/>
              <w:spacing w:after="0"/>
              <w:rPr>
                <w:sz w:val="20"/>
                <w:szCs w:val="20"/>
                <w:color w:val="auto"/>
              </w:rPr>
            </w:pPr>
            <w:r>
              <w:rPr>
                <w:rFonts w:ascii="Arial" w:cs="Arial" w:eastAsia="Arial" w:hAnsi="Arial"/>
                <w:sz w:val="18"/>
                <w:szCs w:val="18"/>
                <w:color w:val="auto"/>
              </w:rPr>
              <w:t>- 1.9%</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ind w:left="40"/>
              <w:spacing w:after="0"/>
              <w:rPr>
                <w:sz w:val="20"/>
                <w:szCs w:val="20"/>
                <w:color w:val="auto"/>
              </w:rPr>
            </w:pPr>
            <w:r>
              <w:rPr>
                <w:rFonts w:ascii="Arial" w:cs="Arial" w:eastAsia="Arial" w:hAnsi="Arial"/>
                <w:sz w:val="18"/>
                <w:szCs w:val="18"/>
                <w:color w:val="auto"/>
              </w:rPr>
              <w:t>- 1.1%</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7.8 - 10.5%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7.8 - 10.5%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10.5</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- 13.5%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10.5</w:t>
            </w: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- 13.5%</w:t>
            </w: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Autodesk does not currently pay, and does not anticipate paying any cash dividends in the foreseeable future. Consequently, an expected dividend yield of zero is used in the Black-Scholes-Merton option pricing model.</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risk-free interest rate used in the Black-Scholes-Merton option pricing model for stock-based awards is the historical yield on U.S. Treasury securities with equivalent remaining lives.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26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Autodesk’s effective tax rate was 20% and 21% during the three and nine months ended October 31, 2011, respectively, compared to 25% and 24% during the three and nine months ended October 31, 2010, respectively. Autodesk’s effective tax rate decreased during the three months ended October 31, 2011 as compared to the same period in the prior fiscal year primarily due to an increase in discrete tax benefits associated with changes in estimates related to Autodesk’s tax return filings in fiscal 2012 and tax detriment from a California tax rate change and related valuation allowance recorded in fiscal 2011 as well as an increase in tax benefits in fiscal 2012 from foreign earnings taxed at lower rates. Excluding the impact of discrete tax items primarily associated with changes in estimates related to tax return filings and stock-based compensation benefits of $3.3 million and $7.8 million in the three and nine months ended October 31, 2011 respectively, the effective tax rate for each of the three and nine months ended October 31, 2011 was 24% and was lower than the Federal statutory tax rate of 35%, primarily due to foreign income taxed at lower rates and research and development credits partially offset by the impact of non-deductible stock-based compensation expense.</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As of October 31, 2011, the Company had $198.3 million of gross unrecognized tax benefits, excluding interest, of which approximately $184.3 million represents the amount of unrecognized tax benefits that would impact the effective tax rate, if recognized. It is possible that the amount of unrecognized tax benefits will change in the next twelve months; however, an estimate of the range of the possible change cannot be made at this time.</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October 31, 2011, Autodesk had net deferred tax assets of $172.9 million. The Company believes that it will generate sufficient future taxable income in appropriate tax jurisdictions to realize these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nine months ended October 31, 2011, Autodesk completed the business combinations and technology purchases described below. The results of operations for the following acquisitions are included in the accompanying Condensed Consolidated Statement of Operations since their respective acquisition date. Pro forma results of operations have not been presented because the effects of the following acquisitions, individually and in the aggregate, were not material to Autodesk’s Condensed Consolidated Financial Statements.</w:t>
      </w:r>
    </w:p>
    <w:p>
      <w:pPr>
        <w:spacing w:after="0" w:line="143" w:lineRule="exact"/>
        <w:rPr>
          <w:sz w:val="20"/>
          <w:szCs w:val="20"/>
          <w:color w:val="auto"/>
        </w:rPr>
      </w:pPr>
    </w:p>
    <w:p>
      <w:pPr>
        <w:jc w:val="both"/>
        <w:ind w:right="600" w:firstLine="456"/>
        <w:spacing w:after="0" w:line="256" w:lineRule="auto"/>
        <w:rPr>
          <w:sz w:val="20"/>
          <w:szCs w:val="20"/>
          <w:color w:val="auto"/>
        </w:rPr>
      </w:pPr>
      <w:r>
        <w:rPr>
          <w:rFonts w:ascii="Arial" w:cs="Arial" w:eastAsia="Arial" w:hAnsi="Arial"/>
          <w:sz w:val="18"/>
          <w:szCs w:val="18"/>
          <w:color w:val="auto"/>
        </w:rPr>
        <w:t>For acquisitions accounted for as business combinations, Autodesk allocated the fair value of the total consideration transferred to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over the aggregate fair values as goodwill.</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March 1, 2011, Autodesk acquired Scaleform Corporation (“Scaleform”) for total cash consideration of $36.2 million. Scaleform was a privately held middleware and user interface tools company, whose technology has been licensed in the development of games across all major hardware platforms. Scaleform has been integrated into Autodesk’s Media and Entertainment segment.</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On March 10, 2011, Autodesk acquired Blue Ridge Numerics, Inc (“Blue Ridge”) for total cash consideration of $41.2 million. Blue Ridge was a privately held company that designed and sold software that enables mechanical engineers to study fluid flow and thermal performance in virtual prototyping. Blue Ridge has been integrated into Autodesk’s Manufacturing segment.</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August 1, 2011, Autodesk acquired Instructables, Inc. (“Instructables”) for total cash consideration of $30.2 million. Instructables was a privately held web-based company specializing in user-created and uploaded instructions for do-it-yourself projects, on which other users can comment and rate for quality. Instructables has been integrated into Autodesk’s Platform Solutions and Emerging Business segment.</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On August 24, 2011, Autodesk entered into a purchase agreement with Turbo Squid, Inc. (“Turbo Squid”) to acquire certain technology related assets for $26.0 million and entered into related cross-licensing and a commercial arrangement which is less than $0.2 million in expense per year. Additionally, Autodesk purchased the option to acquire Turbo Squid within a prescribed date range.</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October 14, 2011, Autodesk acquired Micro Application Packages Limited (“MAP”) for total cash consideration of $23.0 million. MAP was a privately held company specializing in software and services in the building information modeling (“BIM”) life cycle with the focus on fabrication. MAP has been integrated into Autodesk’s Architecture, Engineering and Construction segment.</w:t>
      </w:r>
    </w:p>
    <w:p>
      <w:pPr>
        <w:spacing w:after="0" w:line="14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During the nine months ended October 31, 2011, Autodesk also completed 13 other business combination and technology acquisitions for a total cash consideration of approximately $38.7 million. These business combinations and technology acquisitions were not material individually or in aggregate to Autodesk’s Condensed Consolidated Financial Statements.</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each of the business combinations and technology acquisitions completed during the nine months ended October 31,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Scaleform</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Blue Ridge</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Instructables</w:t>
            </w:r>
          </w:p>
        </w:tc>
        <w:tc>
          <w:tcPr>
            <w:tcW w:w="160" w:type="dxa"/>
            <w:vAlign w:val="bottom"/>
          </w:tcPr>
          <w:p>
            <w:pPr>
              <w:spacing w:after="0"/>
              <w:rPr>
                <w:sz w:val="14"/>
                <w:szCs w:val="14"/>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MAP</w:t>
            </w:r>
          </w:p>
        </w:tc>
        <w:tc>
          <w:tcPr>
            <w:tcW w:w="1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Turbo Squid</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Developed technologies</w:t>
            </w:r>
          </w:p>
        </w:tc>
        <w:tc>
          <w:tcPr>
            <w:tcW w:w="1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color w:val="auto"/>
                <w:w w:val="91"/>
              </w:rPr>
              <w:t>26.0</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User List</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Patent</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12.7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Deferred Revenue</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tangible assets (liabilities)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23.0</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26.0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38.7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2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For Scaleform, Blue Ridge, Instructables, and MAP the allocation of purchase price consideration to the assets and liabilities is not yet finalized. The allocation of the purchase price consideration was based upon a preliminary valuation and our estimates and assumptions are subject to change within the measurement period (up to one year from the acquisition date). The primary areas of the preliminary purchase price allocation that are not yet finalized are amounts for income tax assets and liabilities, pending finalization of estimates and assumptions in respect of certain tax aspects of the transaction and residual goodwill.</w:t>
      </w:r>
    </w:p>
    <w:p>
      <w:pPr>
        <w:spacing w:after="0" w:line="26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Other Intangible Assets, Net</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5"/>
          <w:szCs w:val="15"/>
          <w:color w:val="auto"/>
        </w:rPr>
        <w:t>Other intangible assets that include purchased technologies, customer relationships, trade names and the related accumulated amortization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r>
      <w:tr>
        <w:trPr>
          <w:trHeight w:val="161"/>
        </w:trPr>
        <w:tc>
          <w:tcPr>
            <w:tcW w:w="20" w:type="dxa"/>
            <w:vAlign w:val="bottom"/>
          </w:tcPr>
          <w:p>
            <w:pPr>
              <w:spacing w:after="0"/>
              <w:rPr>
                <w:sz w:val="14"/>
                <w:szCs w:val="14"/>
                <w:color w:val="auto"/>
              </w:rPr>
            </w:pPr>
          </w:p>
        </w:tc>
        <w:tc>
          <w:tcPr>
            <w:tcW w:w="9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Developed technologies, at cost </w:t>
            </w:r>
            <w:r>
              <w:rPr>
                <w:rFonts w:ascii="Arial" w:cs="Arial" w:eastAsia="Arial" w:hAnsi="Arial"/>
                <w:sz w:val="11"/>
                <w:szCs w:val="11"/>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 xml:space="preserve">Customer relationships and trade names, at cost </w:t>
            </w:r>
            <w:r>
              <w:rPr>
                <w:rFonts w:ascii="Arial" w:cs="Arial" w:eastAsia="Arial" w:hAnsi="Arial"/>
                <w:sz w:val="11"/>
                <w:szCs w:val="11"/>
                <w:color w:val="auto"/>
              </w:rPr>
              <w:t>(2)</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w:t>
            </w: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(427.1)</w:t>
            </w: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(373.4)</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80" w:hanging="452"/>
        <w:spacing w:after="0" w:line="262" w:lineRule="auto"/>
        <w:tabs>
          <w:tab w:leader="none" w:pos="460"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Developed technologies include $1.2 million and zero of in-process research and development technology as of October 31, 2011 and January 31, 2011, respectively. In-process research and development is an indefinite lived asset that is held and tested at least annually for impairment until such time that it becomes fully developed technology. Once completed, the technology is amortized to expense over an applicable useful life.</w:t>
      </w:r>
    </w:p>
    <w:p>
      <w:pPr>
        <w:spacing w:after="0" w:line="1" w:lineRule="exact"/>
        <w:rPr>
          <w:rFonts w:ascii="Arial" w:cs="Arial" w:eastAsia="Arial" w:hAnsi="Arial"/>
          <w:sz w:val="20"/>
          <w:szCs w:val="20"/>
          <w:color w:val="auto"/>
          <w:vertAlign w:val="superscript"/>
        </w:rPr>
      </w:pPr>
    </w:p>
    <w:p>
      <w:pPr>
        <w:ind w:left="460" w:right="300" w:hanging="452"/>
        <w:spacing w:after="0" w:line="225" w:lineRule="auto"/>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Included in “Other assets” in the accompanying Condensed Consolidated Balance Sheets. Customer relationships and trade names include the effects of foreign currency translation.</w:t>
      </w:r>
    </w:p>
    <w:p>
      <w:pPr>
        <w:spacing w:after="0" w:line="157"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weighted average amortization period for purchased technologies, customer relationships and trade names during fiscal 2012 was 4.6 years. As of October 31, 2011, expected future amortization expense for purchased technologies, customer relationships and trade names for each of the fiscal years ended thereafter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7"/>
              </w:rPr>
              <w:t>Year ending</w:t>
            </w: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January 31,</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Remainder of 2012</w:t>
            </w:r>
          </w:p>
        </w:tc>
        <w:tc>
          <w:tcPr>
            <w:tcW w:w="7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2013</w:t>
            </w:r>
          </w:p>
        </w:tc>
        <w:tc>
          <w:tcPr>
            <w:tcW w:w="7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2015</w:t>
            </w:r>
          </w:p>
        </w:tc>
        <w:tc>
          <w:tcPr>
            <w:tcW w:w="7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2017</w:t>
            </w:r>
          </w:p>
        </w:tc>
        <w:tc>
          <w:tcPr>
            <w:tcW w:w="7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7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19"/>
                <w:szCs w:val="19"/>
                <w:color w:val="auto"/>
              </w:rPr>
            </w:pPr>
          </w:p>
        </w:tc>
        <w:tc>
          <w:tcPr>
            <w:tcW w:w="7320" w:type="dxa"/>
            <w:vAlign w:val="bottom"/>
            <w:gridSpan w:val="2"/>
          </w:tcPr>
          <w:p>
            <w:pPr>
              <w:ind w:left="71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120" w:type="dxa"/>
            <w:vAlign w:val="bottom"/>
            <w:vMerge w:val="restart"/>
          </w:tcPr>
          <w:p>
            <w:pPr>
              <w:jc w:val="right"/>
              <w:ind w:right="4732"/>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7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change in the carrying amount of goodwill during the nine months ended October 31, 2011,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Platform</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Architecture,</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3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Solutions and</w:t>
            </w:r>
          </w:p>
        </w:tc>
        <w:tc>
          <w:tcPr>
            <w:tcW w:w="128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Engineering</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Emerging</w:t>
            </w:r>
          </w:p>
        </w:tc>
        <w:tc>
          <w:tcPr>
            <w:tcW w:w="180" w:type="dxa"/>
            <w:vAlign w:val="bottom"/>
          </w:tcPr>
          <w:p>
            <w:pPr>
              <w:spacing w:after="0"/>
              <w:rPr>
                <w:sz w:val="12"/>
                <w:szCs w:val="12"/>
                <w:color w:val="auto"/>
              </w:rPr>
            </w:pPr>
          </w:p>
        </w:tc>
        <w:tc>
          <w:tcPr>
            <w:tcW w:w="110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and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Media and</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77"/>
              </w:rPr>
              <w:t>Business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Manufacturing</w:t>
            </w:r>
          </w:p>
        </w:tc>
        <w:tc>
          <w:tcPr>
            <w:tcW w:w="2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Entertainment</w:t>
            </w:r>
          </w:p>
        </w:tc>
        <w:tc>
          <w:tcPr>
            <w:tcW w:w="24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Balances as of January 31, 2011</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45.3</w:t>
            </w:r>
          </w:p>
        </w:tc>
        <w:tc>
          <w:tcPr>
            <w:tcW w:w="5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224.2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279.1</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154.7</w:t>
            </w:r>
          </w:p>
        </w:tc>
        <w:tc>
          <w:tcPr>
            <w:tcW w:w="2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$ 703.3</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(149.2)</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(149.2)</w:t>
            </w: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45.3</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224.2</w:t>
            </w:r>
          </w:p>
        </w:tc>
        <w:tc>
          <w:tcPr>
            <w:tcW w:w="28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279.1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554.1</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 arising from Scaleform acquisition</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Addition arising from Blue Ridge acquisition</w:t>
            </w: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22.3</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 arising from Instructables acquisition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Addition arising from MAP acquisition</w:t>
            </w: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12.7</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 arising from other acquisitions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208"/>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Effect of foreign currency translation,</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5360" w:type="dxa"/>
            <w:vAlign w:val="bottom"/>
          </w:tcPr>
          <w:p>
            <w:pPr>
              <w:ind w:left="640"/>
              <w:spacing w:after="0"/>
              <w:rPr>
                <w:sz w:val="20"/>
                <w:szCs w:val="20"/>
                <w:color w:val="auto"/>
              </w:rPr>
            </w:pPr>
            <w:r>
              <w:rPr>
                <w:rFonts w:ascii="Arial" w:cs="Arial" w:eastAsia="Arial" w:hAnsi="Arial"/>
                <w:sz w:val="18"/>
                <w:szCs w:val="18"/>
                <w:color w:val="auto"/>
              </w:rPr>
              <w:t>purchase accounting and other</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31, 2011</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77.4</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240.6</w:t>
            </w:r>
          </w:p>
        </w:tc>
        <w:tc>
          <w:tcPr>
            <w:tcW w:w="2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304.3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180.8</w:t>
            </w:r>
          </w:p>
        </w:tc>
        <w:tc>
          <w:tcPr>
            <w:tcW w:w="2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803.1</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(149.2)</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(149.2)</w:t>
            </w: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77.4</w:t>
            </w:r>
          </w:p>
        </w:tc>
        <w:tc>
          <w:tcPr>
            <w:tcW w:w="5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240.</w:t>
            </w:r>
            <w:r>
              <w:rPr>
                <w:rFonts w:ascii="Arial" w:cs="Arial" w:eastAsia="Arial" w:hAnsi="Arial"/>
                <w:sz w:val="18"/>
                <w:szCs w:val="18"/>
                <w:u w:val="single" w:color="auto"/>
                <w:color w:val="auto"/>
              </w:rPr>
              <w:t>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304.3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$ 653.9</w:t>
            </w: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Goodwill consists of the excess of cost over the fair value of net assets acquired in business combinations. Autodesk assigns goodwill to the reportable segment associated with each business combination, and tests goodwill for impairment annually in its fourth fiscal quarter or more often if circumstances indicate a potential impairment. When assessing goodwill for impairment, Autodesk uses discounted cash flow models that include assumptions regarding reportable segments’ projected cash flows (“Income Approach”) and corroborates it with the estimated consideration that the Company would receive if there were to be a sale of the reporting segment (“Market Approach”).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 economy or the industries Autodesk serves, or (iv) changes in Autodesk’s business strategy or internal financial results forecasts. A hypothetical 10% decrease in the fair value of any of Autodesk’s four reporting units would not have an impact on the carrying value, nor result in an impairment, of goodwill shown on Autodesk’s balance sheet as of October 31, 2011 for the respective reporting units.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Deferred Compensation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At October 31, 2011, Autodesk had marketable securities totaling $430.9 million, of which $32.7 million related to investments in debt and equity securities that are held in a rabbi trust under non-qualified deferred compensation plans. The total related deferred compensation liability was $32.7 million at October 31, 2011, of which $3.2 million was classified as current and $29.5 million was classified as non-current liabilities. The value of debt and equity securities held in the rabbi trust at January 31, 2011 was $31.3 million. The total related deferred compensation liability at January 31, 2011 was $31.3 million, of which $3.4 million was classified as current and $27.9 million was classified as non-current liabilities. The current and non-current portions of the liability are recorded in the Condensed Consolidated Balance Sheets under “Accrued compensation” and “Other liabilities,” respectively.</w:t>
      </w:r>
    </w:p>
    <w:p>
      <w:pPr>
        <w:spacing w:after="0" w:line="24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Computer Equipment, Software, Furniture and Leasehold Improvements, Net</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r>
      <w:tr>
        <w:trPr>
          <w:trHeight w:val="161"/>
        </w:trPr>
        <w:tc>
          <w:tcPr>
            <w:tcW w:w="20" w:type="dxa"/>
            <w:vAlign w:val="bottom"/>
          </w:tcPr>
          <w:p>
            <w:pPr>
              <w:spacing w:after="0"/>
              <w:rPr>
                <w:sz w:val="14"/>
                <w:szCs w:val="14"/>
                <w:color w:val="auto"/>
              </w:rPr>
            </w:pPr>
          </w:p>
        </w:tc>
        <w:tc>
          <w:tcPr>
            <w:tcW w:w="9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software, at cost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Computer hardware, at cost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123.7</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land and buildings, at cost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w:t>
            </w: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Furniture and equipment, at cost</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w:t>
            </w: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(364.1)</w:t>
            </w: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(333.5)</w:t>
            </w:r>
          </w:p>
        </w:tc>
      </w:tr>
      <w:tr>
        <w:trPr>
          <w:trHeight w:val="20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hardware, leasehold improvements, furniture</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equipment, net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Borrowing Arrangements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The line of credit is syndicated with various financial institutions, including Citicorp USA, Inc., an affiliate of Citibank, which is one of the lead lenders and agent. At October 31, 2011, Autodesk had no outstanding borrowings on this line of credit. This facility expires in May 2016.</w:t>
      </w:r>
    </w:p>
    <w:p>
      <w:pPr>
        <w:spacing w:after="0" w:line="266"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Restructuring Reserve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fiscal 2011, fiscal 2010 and fiscal 2009 Autodesk initiated restructuring plans (“Fiscal 2011 Plan,” “Fiscal 2010 Plan” and “Fiscal 2009 Plan,” respectively) in order to further reduce operating costs. These restructuring plans resulted in targeted global staff reductions of approximately 200, 430, and 700 positions for fiscal 2011, 2010 and 2009, respectively. No leased facilities were consolidated as part of the Fiscal 2011 Plan. The Fiscal 2010 Plan and Fiscal 2009 Plan resulted in the consolidation of 32 and 27 leased facilities,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connection with our restructuring plans, we recorded a favorable adjustment for changes in previous estimates during the nine months ended October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restructuring activities for the nine months ended October 31,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4"/>
              <w:spacing w:after="0"/>
              <w:rPr>
                <w:sz w:val="20"/>
                <w:szCs w:val="20"/>
                <w:color w:val="auto"/>
              </w:rPr>
            </w:pPr>
            <w:r>
              <w:rPr>
                <w:rFonts w:ascii="Arial" w:cs="Arial" w:eastAsia="Arial" w:hAnsi="Arial"/>
                <w:sz w:val="14"/>
                <w:szCs w:val="14"/>
                <w:b w:val="1"/>
                <w:bCs w:val="1"/>
                <w:color w:val="auto"/>
                <w:w w:val="91"/>
              </w:rPr>
              <w:t>Balance at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22"/>
                <w:szCs w:val="22"/>
                <w:b w:val="1"/>
                <w:bCs w:val="1"/>
                <w:color w:val="auto"/>
                <w:vertAlign w:val="superscript"/>
              </w:rPr>
              <w:t>(1)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5"/>
              </w:rPr>
              <w:t>January 31, 2011</w:t>
            </w: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3"/>
              </w:rPr>
              <w:t>Additions</w:t>
            </w:r>
          </w:p>
        </w:tc>
        <w:tc>
          <w:tcPr>
            <w:tcW w:w="6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12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October 31, 2011</w:t>
            </w: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Fiscal 2011 Plan</w:t>
            </w: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Employee termination costs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Fiscal 2010 Plan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Lease termination and asset costs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Fiscal 2009 Plan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Lease termination and asset costs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Lease termination costs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(1.8)</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Current portion</w:t>
            </w:r>
            <w:r>
              <w:rPr>
                <w:rFonts w:ascii="Arial" w:cs="Arial" w:eastAsia="Arial" w:hAnsi="Arial"/>
                <w:sz w:val="11"/>
                <w:szCs w:val="11"/>
                <w:color w:val="auto"/>
              </w:rPr>
              <w:t>(2)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0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r>
              <w:rPr>
                <w:rFonts w:ascii="Arial" w:cs="Arial" w:eastAsia="Arial" w:hAnsi="Arial"/>
                <w:sz w:val="11"/>
                <w:szCs w:val="11"/>
                <w:color w:val="auto"/>
              </w:rPr>
              <w:t>(2)</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Adjustments include the impact of foreign currency translation.</w:t>
      </w:r>
    </w:p>
    <w:p>
      <w:pPr>
        <w:spacing w:after="0" w:line="7" w:lineRule="exact"/>
        <w:rPr>
          <w:rFonts w:ascii="Arial" w:cs="Arial" w:eastAsia="Arial" w:hAnsi="Arial"/>
          <w:sz w:val="22"/>
          <w:szCs w:val="22"/>
          <w:color w:val="auto"/>
          <w:vertAlign w:val="superscript"/>
        </w:rPr>
      </w:pPr>
    </w:p>
    <w:p>
      <w:pPr>
        <w:ind w:left="460" w:right="480" w:hanging="452"/>
        <w:spacing w:after="0" w:line="221" w:lineRule="auto"/>
        <w:tabs>
          <w:tab w:leader="none" w:pos="46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The current and non-current portions of the reserve are recorded in the Condensed Consolidated Balance Sheets under “Other accrued liabilities” and “Other liabilities,” respectively.</w:t>
      </w:r>
    </w:p>
    <w:p>
      <w:pPr>
        <w:spacing w:after="0" w:line="278" w:lineRule="exact"/>
        <w:rPr>
          <w:sz w:val="20"/>
          <w:szCs w:val="20"/>
          <w:color w:val="auto"/>
        </w:rPr>
      </w:pPr>
    </w:p>
    <w:p>
      <w:pPr>
        <w:ind w:left="240" w:right="8560" w:hanging="232"/>
        <w:spacing w:after="0" w:line="413" w:lineRule="auto"/>
        <w:tabs>
          <w:tab w:leader="none" w:pos="458"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Commitments and Contingencies </w:t>
      </w:r>
      <w:r>
        <w:rPr>
          <w:rFonts w:ascii="Arial" w:cs="Arial" w:eastAsia="Arial" w:hAnsi="Arial"/>
          <w:sz w:val="15"/>
          <w:szCs w:val="15"/>
          <w:i w:val="1"/>
          <w:iCs w:val="1"/>
          <w:color w:val="auto"/>
        </w:rPr>
        <w:t>Guarantees and Indemnifications</w:t>
      </w:r>
    </w:p>
    <w:p>
      <w:pPr>
        <w:spacing w:after="0" w:line="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Common Stock Repurchase Program</w:t>
      </w:r>
    </w:p>
    <w:p>
      <w:pPr>
        <w:spacing w:after="0" w:line="90" w:lineRule="exact"/>
        <w:rPr>
          <w:sz w:val="20"/>
          <w:szCs w:val="20"/>
          <w:color w:val="auto"/>
        </w:rPr>
      </w:pPr>
    </w:p>
    <w:p>
      <w:pPr>
        <w:jc w:val="both"/>
        <w:ind w:right="220" w:firstLine="456"/>
        <w:spacing w:after="0" w:line="303" w:lineRule="auto"/>
        <w:rPr>
          <w:sz w:val="20"/>
          <w:szCs w:val="20"/>
          <w:color w:val="auto"/>
        </w:rPr>
      </w:pPr>
      <w:r>
        <w:rPr>
          <w:rFonts w:ascii="Arial" w:cs="Arial" w:eastAsia="Arial" w:hAnsi="Arial"/>
          <w:sz w:val="15"/>
          <w:szCs w:val="15"/>
          <w:color w:val="auto"/>
        </w:rPr>
        <w:t>Autodesk has a stock repurchase program that is used largely to help offset the dilution to net income per share caused by the issuance of stock under the Company’s employee stock plans and for such other purposes as may be in the interests of Autodesk and its stockholders, and has the effect of returning excess cash generated from the Company’s business to stockholders. During the three and nine months ended October 31, 2011, Autodesk repurchased and retired</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3.5 million and 7.7 million shares at an average repurchase price of $26.93 per share and $34.21 per share, respectively. Common stock and additional paid-in capital and retained earnings were reduced by $67.4 million and $26.9 million, respectively, during the three months ended October 31, 2011, as a result of the stock repurchases. Common stock and additional paid-in capital and retained earnings were reduced by $171.9 million and $91.8 million, respectively, during the nine months ended October 31, 2011.</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At October 31, 2011, 16.7 million shares remained available for repurchase under repurchase plans approved by the Board of Directors. During the three and nine months ended October 31, 2011, Autodesk repurchased its common stock through open market purchases. The number of shares acquired and the timing of the purchases are based on several factors, including general market conditions, the number of employee stock option exercises, stock issuance, the trading price of Autodesk common stock, cash on hand and available in the United States, and company defined trading windows.</w:t>
      </w:r>
    </w:p>
    <w:p>
      <w:pPr>
        <w:spacing w:after="0" w:line="23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Comprehensive Income</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other comprehensive income (loss), net of taxes,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5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w:t>
            </w:r>
          </w:p>
        </w:tc>
        <w:tc>
          <w:tcPr>
            <w:tcW w:w="14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5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2"/>
              </w:rPr>
              <w:t>Ended October 31,</w:t>
            </w:r>
          </w:p>
        </w:tc>
        <w:tc>
          <w:tcPr>
            <w:tcW w:w="14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5"/>
              </w:rPr>
              <w:t>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$ 72.8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$ 53.6</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$213.3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on derivative instruments, net of taxes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Change in net unrealized gain (loss) on available-for-sale securities, net of tax</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cumulative foreign currency translation gain (loss)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860"/>
              <w:spacing w:after="0"/>
              <w:rPr>
                <w:sz w:val="20"/>
                <w:szCs w:val="20"/>
                <w:color w:val="auto"/>
              </w:rPr>
            </w:pPr>
            <w:r>
              <w:rPr>
                <w:rFonts w:ascii="Arial" w:cs="Arial" w:eastAsia="Arial" w:hAnsi="Arial"/>
                <w:sz w:val="18"/>
                <w:szCs w:val="18"/>
                <w:color w:val="auto"/>
              </w:rPr>
              <w:t>Total other comprehensive income (loss)</w:t>
            </w: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vMerge w:val="continue"/>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(1.1)</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$ 61.9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$ 52.5</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217.3</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other comprehensive income (loss), net of taxes, was comprised of the following at October 31, 2011 and January 31,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3"/>
              </w:rPr>
              <w:t>October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4760" w:type="dxa"/>
            <w:vAlign w:val="bottom"/>
            <w:tcBorders>
              <w:bottom w:val="single" w:sz="8" w:color="CCEEFF"/>
            </w:tcBorders>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2011</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on derivative instruments</w:t>
            </w:r>
          </w:p>
        </w:tc>
        <w:tc>
          <w:tcPr>
            <w:tcW w:w="4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Net unrealized gain on available-for-sale securities</w:t>
            </w:r>
          </w:p>
        </w:tc>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Unfunded portion of pension plans</w:t>
            </w:r>
          </w:p>
        </w:tc>
        <w:tc>
          <w:tcPr>
            <w:tcW w:w="4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4480" w:type="dxa"/>
            <w:vAlign w:val="bottom"/>
            <w:vMerge w:val="restart"/>
          </w:tcPr>
          <w:p>
            <w:pPr>
              <w:jc w:val="right"/>
              <w:ind w:right="3352"/>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6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Income Per Share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for the period, including restricted stock awards and excluding stock options and restricted stock units. Diluted net income per share is based upon the weighted average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38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8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rPr>
              <w:t>October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October 31,</w:t>
            </w:r>
          </w:p>
        </w:tc>
        <w:tc>
          <w:tcPr>
            <w:tcW w:w="0" w:type="dxa"/>
            <w:vAlign w:val="bottom"/>
          </w:tcPr>
          <w:p>
            <w:pPr>
              <w:spacing w:after="0"/>
              <w:rPr>
                <w:sz w:val="1"/>
                <w:szCs w:val="1"/>
                <w:color w:val="auto"/>
              </w:rPr>
            </w:pPr>
          </w:p>
        </w:tc>
      </w:tr>
      <w:tr>
        <w:trPr>
          <w:trHeight w:val="142"/>
        </w:trPr>
        <w:tc>
          <w:tcPr>
            <w:tcW w:w="8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2010</w:t>
            </w: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72.8</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53.6</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213.3</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Denominator for basic net income per share—weighted average shares</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227.1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tcPr>
          <w:p>
            <w:pPr>
              <w:ind w:left="440"/>
              <w:spacing w:after="0"/>
              <w:rPr>
                <w:sz w:val="20"/>
                <w:szCs w:val="20"/>
                <w:color w:val="auto"/>
              </w:rPr>
            </w:pPr>
            <w:r>
              <w:rPr>
                <w:rFonts w:ascii="Arial" w:cs="Arial" w:eastAsia="Arial" w:hAnsi="Arial"/>
                <w:sz w:val="18"/>
                <w:szCs w:val="18"/>
                <w:color w:val="auto"/>
              </w:rPr>
              <w:t>Denominator for dilutive net income per share</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230.7</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232.4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233.7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0.32</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0.91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computation of diluted net income per share does not include shares that are anti-dilutive under the treasury stock method because their exercise prices are higher than the average market value of Autodesk’s stock during the period. For the three months ended October 31, 2011 and 2010, 22.8 million and</w:t>
      </w:r>
    </w:p>
    <w:p>
      <w:pPr>
        <w:spacing w:after="0"/>
        <w:rPr>
          <w:sz w:val="20"/>
          <w:szCs w:val="20"/>
          <w:color w:val="auto"/>
        </w:rPr>
      </w:pPr>
      <w:r>
        <w:rPr>
          <w:rFonts w:ascii="Arial" w:cs="Arial" w:eastAsia="Arial" w:hAnsi="Arial"/>
          <w:sz w:val="16"/>
          <w:szCs w:val="16"/>
          <w:color w:val="auto"/>
        </w:rPr>
        <w:t>20.2 million potentially anti-dilutive shares, respectively, were excluded from the computation of net income per share. For the nine months ended October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and 2010, 11.9 million and 19.9 million potentially anti-dilutive shares, respectively, were excluded from the computation of net income per share.</w:t>
      </w:r>
    </w:p>
    <w:p>
      <w:pPr>
        <w:spacing w:after="0" w:line="30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Segments</w:t>
      </w:r>
    </w:p>
    <w:p>
      <w:pPr>
        <w:spacing w:after="0" w:line="90"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Platform Solutions and Emerging Business (“PSEB”), Architecture, Engineering and Construction (“AEC”), Manufacturing (“MFG”) and Media and Entertainment (“M&amp;E”). Autodesk has no material inter-segment revenue.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Our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 serve. Autodesk’s AutoCAD product also provides a platform for Autodesk’s developer partners to build custom solutions for a range of diverse design-oriented markets. PSEB’s revenue primarily includes revenue from sales of licenses of Autodesk’s design products, AutoCAD and AutoCAD LT, as well as the Autodesk Design Suite and many other design products.</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Revit family suites, AutoCAD Civil 3D, AutoCAD Architecture and AutoCAD Map 3D products.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Inventor family suites, AutoCAD Mechanical and Autodesk Moldflow products.</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M&amp;E is comprised of two product groups: Animation, including design visualization, and Creative Finishing. Animation products, such as Autodesk 3ds Max, Autodesk Maya and the Autodesk Entertainment Creation Suite, provide tools for digital sculpting, modeling, animation, effects, rendering and compositing, for design visualization, visual effects and games production. Creative Finishing products provide editing, finishing and visual effects design and color grading.</w:t>
      </w:r>
    </w:p>
    <w:p>
      <w:pPr>
        <w:spacing w:after="0" w:line="143" w:lineRule="exact"/>
        <w:rPr>
          <w:sz w:val="20"/>
          <w:szCs w:val="20"/>
          <w:color w:val="auto"/>
        </w:rPr>
      </w:pPr>
    </w:p>
    <w:p>
      <w:pPr>
        <w:ind w:right="340" w:firstLine="456"/>
        <w:spacing w:after="0" w:line="323" w:lineRule="auto"/>
        <w:rPr>
          <w:sz w:val="20"/>
          <w:szCs w:val="20"/>
          <w:color w:val="auto"/>
        </w:rPr>
      </w:pPr>
      <w:r>
        <w:rPr>
          <w:rFonts w:ascii="Arial" w:cs="Arial" w:eastAsia="Arial" w:hAnsi="Arial"/>
          <w:sz w:val="15"/>
          <w:szCs w:val="15"/>
          <w:color w:val="auto"/>
        </w:rPr>
        <w:t>All of Autodesk’s reportable segments distribute their respective products primarily through authorized resellers and distributors and, to a lesser extent, through direct sales to end-users. The accounting policies of the reportable segments are the same as those described in Note 1, “Business and Summary of Significant Accounting Policies” of our 2011 Annual Report on Form 10-K. Autodesk evaluates each segment’s performance on the basis of gross profit. Autodesk currently does not separately accumulate and report asset information by segment, except for goodwill, which is disclosed in Note 10, “Goodwill.”</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concerning the operations of Autodesk’s reportable segments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5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Nine Months Ended</w:t>
            </w:r>
          </w:p>
        </w:tc>
      </w:tr>
      <w:tr>
        <w:trPr>
          <w:trHeight w:val="161"/>
        </w:trPr>
        <w:tc>
          <w:tcPr>
            <w:tcW w:w="8060" w:type="dxa"/>
            <w:vAlign w:val="bottom"/>
          </w:tcPr>
          <w:p>
            <w:pPr>
              <w:spacing w:after="0"/>
              <w:rPr>
                <w:sz w:val="14"/>
                <w:szCs w:val="14"/>
                <w:color w:val="auto"/>
              </w:rPr>
            </w:pPr>
          </w:p>
        </w:tc>
        <w:tc>
          <w:tcPr>
            <w:tcW w:w="15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October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October 31,</w:t>
            </w:r>
          </w:p>
        </w:tc>
      </w:tr>
      <w:tr>
        <w:trPr>
          <w:trHeight w:val="142"/>
        </w:trPr>
        <w:tc>
          <w:tcPr>
            <w:tcW w:w="8060" w:type="dxa"/>
            <w:vAlign w:val="bottom"/>
          </w:tcPr>
          <w:p>
            <w:pPr>
              <w:spacing w:after="0"/>
              <w:rPr>
                <w:sz w:val="12"/>
                <w:szCs w:val="12"/>
                <w:color w:val="auto"/>
              </w:rPr>
            </w:pPr>
          </w:p>
        </w:tc>
        <w:tc>
          <w:tcPr>
            <w:tcW w:w="52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8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$ 209.7</w:t>
            </w:r>
          </w:p>
        </w:tc>
        <w:tc>
          <w:tcPr>
            <w:tcW w:w="1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$ 173.3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618.7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534.6</w:t>
            </w: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w:t>
            </w: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Manufacturing</w:t>
            </w:r>
          </w:p>
        </w:tc>
        <w:tc>
          <w:tcPr>
            <w:tcW w:w="520" w:type="dxa"/>
            <w:vAlign w:val="bottom"/>
          </w:tcPr>
          <w:p>
            <w:pPr>
              <w:jc w:val="right"/>
              <w:spacing w:after="0"/>
              <w:rPr>
                <w:sz w:val="20"/>
                <w:szCs w:val="20"/>
                <w:color w:val="auto"/>
              </w:rPr>
            </w:pPr>
            <w:r>
              <w:rPr>
                <w:rFonts w:ascii="Arial" w:cs="Arial" w:eastAsia="Arial" w:hAnsi="Arial"/>
                <w:sz w:val="18"/>
                <w:szCs w:val="18"/>
                <w:color w:val="auto"/>
              </w:rPr>
              <w:t>133.5</w:t>
            </w:r>
          </w:p>
        </w:tc>
        <w:tc>
          <w:tcPr>
            <w:tcW w:w="1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337.3</w:t>
            </w: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Media and Entertainment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w:t>
            </w:r>
          </w:p>
        </w:tc>
      </w:tr>
      <w:tr>
        <w:trPr>
          <w:trHeight w:val="20"/>
        </w:trPr>
        <w:tc>
          <w:tcPr>
            <w:tcW w:w="8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8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$ 548.6</w:t>
            </w:r>
          </w:p>
        </w:tc>
        <w:tc>
          <w:tcPr>
            <w:tcW w:w="18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$ 476.7</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1,623.5</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1,424.1</w:t>
            </w:r>
          </w:p>
        </w:tc>
      </w:tr>
      <w:tr>
        <w:trPr>
          <w:trHeight w:val="20"/>
        </w:trPr>
        <w:tc>
          <w:tcPr>
            <w:tcW w:w="80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$ 198.2</w:t>
            </w:r>
          </w:p>
        </w:tc>
        <w:tc>
          <w:tcPr>
            <w:tcW w:w="1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$ 164.1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584.0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505.6</w:t>
            </w: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368.8</w:t>
            </w: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Manufacturing</w:t>
            </w:r>
          </w:p>
        </w:tc>
        <w:tc>
          <w:tcPr>
            <w:tcW w:w="520" w:type="dxa"/>
            <w:vAlign w:val="bottom"/>
          </w:tcPr>
          <w:p>
            <w:pPr>
              <w:jc w:val="right"/>
              <w:spacing w:after="0"/>
              <w:rPr>
                <w:sz w:val="20"/>
                <w:szCs w:val="20"/>
                <w:color w:val="auto"/>
              </w:rPr>
            </w:pPr>
            <w:r>
              <w:rPr>
                <w:rFonts w:ascii="Arial" w:cs="Arial" w:eastAsia="Arial" w:hAnsi="Arial"/>
                <w:sz w:val="18"/>
                <w:szCs w:val="18"/>
                <w:color w:val="auto"/>
              </w:rPr>
              <w:t>122.2</w:t>
            </w:r>
          </w:p>
        </w:tc>
        <w:tc>
          <w:tcPr>
            <w:tcW w:w="1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314.7</w:t>
            </w: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Media and Entertainment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w:t>
            </w: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 xml:space="preserve">Unallocated </w:t>
            </w:r>
            <w:r>
              <w:rPr>
                <w:rFonts w:ascii="Arial" w:cs="Arial" w:eastAsia="Arial" w:hAnsi="Arial"/>
                <w:sz w:val="11"/>
                <w:szCs w:val="11"/>
                <w:color w:val="auto"/>
              </w:rPr>
              <w:t>(1)</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r>
      <w:tr>
        <w:trPr>
          <w:trHeight w:val="27"/>
        </w:trPr>
        <w:tc>
          <w:tcPr>
            <w:tcW w:w="80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$ 489.0</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$ 428.2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1,451.6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1,275.9</w:t>
            </w:r>
          </w:p>
        </w:tc>
      </w:tr>
      <w:tr>
        <w:trPr>
          <w:trHeight w:val="20"/>
        </w:trPr>
        <w:tc>
          <w:tcPr>
            <w:tcW w:w="80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460" w:hanging="452"/>
        <w:spacing w:after="0" w:line="228" w:lineRule="auto"/>
        <w:tabs>
          <w:tab w:leader="none" w:pos="46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Unallocated amounts primarily relate to corporate expenses and other costs and expenses that are managed outside the reportable segments, including stock-based compensation expense.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Autodesk’s operations by geographic area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7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4"/>
                <w:szCs w:val="14"/>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7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October 31,</w:t>
            </w:r>
          </w:p>
        </w:tc>
        <w:tc>
          <w:tcPr>
            <w:tcW w:w="80" w:type="dxa"/>
            <w:vAlign w:val="bottom"/>
          </w:tcPr>
          <w:p>
            <w:pPr>
              <w:spacing w:after="0"/>
              <w:rPr>
                <w:sz w:val="14"/>
                <w:szCs w:val="14"/>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39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3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Americas</w:t>
            </w:r>
          </w:p>
        </w:tc>
        <w:tc>
          <w:tcPr>
            <w:tcW w:w="3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w:t>
            </w:r>
          </w:p>
        </w:tc>
        <w:tc>
          <w:tcPr>
            <w:tcW w:w="4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$ 161.7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$ 142.8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860"/>
              <w:spacing w:after="0"/>
              <w:rPr>
                <w:sz w:val="20"/>
                <w:szCs w:val="20"/>
                <w:color w:val="auto"/>
              </w:rPr>
            </w:pPr>
            <w:r>
              <w:rPr>
                <w:rFonts w:ascii="Arial" w:cs="Arial" w:eastAsia="Arial" w:hAnsi="Arial"/>
                <w:sz w:val="18"/>
                <w:szCs w:val="18"/>
                <w:color w:val="auto"/>
              </w:rPr>
              <w:t>Other Americas</w:t>
            </w:r>
          </w:p>
        </w:tc>
        <w:tc>
          <w:tcPr>
            <w:tcW w:w="39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Americas</w:t>
            </w:r>
          </w:p>
        </w:tc>
        <w:tc>
          <w:tcPr>
            <w:tcW w:w="39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Europe, Middle East and Africa</w:t>
            </w:r>
          </w:p>
        </w:tc>
        <w:tc>
          <w:tcPr>
            <w:tcW w:w="4740" w:type="dxa"/>
            <w:vAlign w:val="bottom"/>
            <w:gridSpan w:val="3"/>
          </w:tcPr>
          <w:p>
            <w:pPr>
              <w:jc w:val="right"/>
              <w:ind w:right="300"/>
              <w:spacing w:after="0"/>
              <w:rPr>
                <w:sz w:val="20"/>
                <w:szCs w:val="20"/>
                <w:color w:val="auto"/>
              </w:rPr>
            </w:pPr>
            <w:r>
              <w:rPr>
                <w:rFonts w:ascii="Arial" w:cs="Arial" w:eastAsia="Arial" w:hAnsi="Arial"/>
                <w:sz w:val="18"/>
                <w:szCs w:val="18"/>
                <w:color w:val="auto"/>
              </w:rPr>
              <w:t>201.8</w:t>
            </w:r>
          </w:p>
        </w:tc>
        <w:tc>
          <w:tcPr>
            <w:tcW w:w="560" w:type="dxa"/>
            <w:vAlign w:val="bottom"/>
          </w:tcPr>
          <w:p>
            <w:pPr>
              <w:jc w:val="right"/>
              <w:spacing w:after="0"/>
              <w:rPr>
                <w:sz w:val="20"/>
                <w:szCs w:val="20"/>
                <w:color w:val="auto"/>
              </w:rPr>
            </w:pPr>
            <w:r>
              <w:rPr>
                <w:rFonts w:ascii="Arial" w:cs="Arial" w:eastAsia="Arial" w:hAnsi="Arial"/>
                <w:sz w:val="18"/>
                <w:szCs w:val="18"/>
                <w:color w:val="auto"/>
              </w:rPr>
              <w:t>182.9</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628.7</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Asia Pacific</w:t>
            </w:r>
          </w:p>
        </w:tc>
        <w:tc>
          <w:tcPr>
            <w:tcW w:w="39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860"/>
              <w:spacing w:after="0"/>
              <w:rPr>
                <w:sz w:val="20"/>
                <w:szCs w:val="20"/>
                <w:color w:val="auto"/>
              </w:rPr>
            </w:pPr>
            <w:r>
              <w:rPr>
                <w:rFonts w:ascii="Arial" w:cs="Arial" w:eastAsia="Arial" w:hAnsi="Arial"/>
                <w:sz w:val="18"/>
                <w:szCs w:val="18"/>
                <w:color w:val="auto"/>
              </w:rPr>
              <w:t>Japan</w:t>
            </w:r>
          </w:p>
        </w:tc>
        <w:tc>
          <w:tcPr>
            <w:tcW w:w="4740" w:type="dxa"/>
            <w:vAlign w:val="bottom"/>
            <w:gridSpan w:val="3"/>
          </w:tcPr>
          <w:p>
            <w:pPr>
              <w:jc w:val="right"/>
              <w:ind w:right="300"/>
              <w:spacing w:after="0"/>
              <w:rPr>
                <w:sz w:val="20"/>
                <w:szCs w:val="20"/>
                <w:color w:val="auto"/>
              </w:rPr>
            </w:pPr>
            <w:r>
              <w:rPr>
                <w:rFonts w:ascii="Arial" w:cs="Arial" w:eastAsia="Arial" w:hAnsi="Arial"/>
                <w:sz w:val="18"/>
                <w:szCs w:val="18"/>
                <w:color w:val="auto"/>
              </w:rPr>
              <w:t>65.4</w:t>
            </w:r>
          </w:p>
        </w:tc>
        <w:tc>
          <w:tcPr>
            <w:tcW w:w="560" w:type="dxa"/>
            <w:vAlign w:val="bottom"/>
          </w:tcPr>
          <w:p>
            <w:pPr>
              <w:jc w:val="right"/>
              <w:spacing w:after="0"/>
              <w:rPr>
                <w:sz w:val="20"/>
                <w:szCs w:val="20"/>
                <w:color w:val="auto"/>
              </w:rPr>
            </w:pPr>
            <w:r>
              <w:rPr>
                <w:rFonts w:ascii="Arial" w:cs="Arial" w:eastAsia="Arial" w:hAnsi="Arial"/>
                <w:sz w:val="18"/>
                <w:szCs w:val="18"/>
                <w:color w:val="auto"/>
              </w:rPr>
              <w:t>47.6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Asia Pacific</w:t>
            </w:r>
          </w:p>
        </w:tc>
        <w:tc>
          <w:tcPr>
            <w:tcW w:w="39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Total Asia Pacific</w:t>
            </w:r>
          </w:p>
        </w:tc>
        <w:tc>
          <w:tcPr>
            <w:tcW w:w="3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146.4</w:t>
            </w:r>
          </w:p>
        </w:tc>
        <w:tc>
          <w:tcPr>
            <w:tcW w:w="3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114.5</w:t>
            </w:r>
          </w:p>
        </w:tc>
        <w:tc>
          <w:tcPr>
            <w:tcW w:w="8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421.6</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392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$ 548.6</w:t>
            </w:r>
          </w:p>
        </w:tc>
        <w:tc>
          <w:tcPr>
            <w:tcW w:w="30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$ 476.7</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1,623.2</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920" w:type="dxa"/>
            <w:vAlign w:val="bottom"/>
            <w:vMerge w:val="restart"/>
          </w:tcPr>
          <w:p>
            <w:pPr>
              <w:jc w:val="right"/>
              <w:ind w:right="2192"/>
              <w:spacing w:after="0"/>
              <w:rPr>
                <w:sz w:val="20"/>
                <w:szCs w:val="20"/>
                <w:color w:val="auto"/>
              </w:rPr>
            </w:pPr>
            <w:r>
              <w:rPr>
                <w:rFonts w:ascii="Arial" w:cs="Arial" w:eastAsia="Arial" w:hAnsi="Arial"/>
                <w:sz w:val="18"/>
                <w:szCs w:val="18"/>
                <w:color w:val="auto"/>
              </w:rPr>
              <w:t>28</w:t>
            </w: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i w:val="1"/>
          <w:iCs w:val="1"/>
          <w:color w:val="auto"/>
        </w:rPr>
        <w:t>The discussion in our MD&amp;A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the statements in “Strategy” below, anticipated future net revenue, future operating margin and other future financial results (by product type and geography) and operating expenses, the effect of unemployment and availability of credit, the effects of the U.S. debt downgrade and weak global economic conditions, our backlog, expected trends in certain financial metrics, the impact of acquisitions and investment activities, the effect of fluctuations in exchange rates and our hedging activities on our financial results, the impact of natural disasters on our operations and financial results, our ability to successfully expand adoption of our products, and our ability to successfully increase sales of product suites as part of our overall sales strategy. In addition, forward-looking statements also consist of statements involving expectations regarding product acceptance, continuation of our stock repurchase program,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w:t>
      </w:r>
    </w:p>
    <w:p>
      <w:pPr>
        <w:spacing w:after="0" w:line="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i w:val="1"/>
          <w:iCs w:val="1"/>
          <w:color w:val="auto"/>
        </w:rPr>
        <w:t>Item 1A, “Risk Factors,” and in our other reports filed with the U.S. Securities and Exchange Commission. We assume no obligation to update the forward-looking statements to reflect events that occur or circumstances that exist after the date on which they were made.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Autodesk’s vision is to help people imagine, design and create a better world. We do this by developing software for the world’s designers, architects, engineers, and digital artists—the people who create products, buildings, infrastructure, films, and games. Autodesk serves customers in three primary markets: architecture, engineering and construction; manufacturing; and digital media and entertainment.</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goal is to provide our customers with the world’s most valuable, innovative, and engaging software and services. Our product and services portfolio allows our customers to digitally visualize, simulate, and analyze their projects, helping them to better understand the consequences of their design decisions; save time, money, and resources; and become more innovative.</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By innovating in existing technology categories, we bring powerful new design capabilities to volume markets. Our products are designed to be easy-to-learn and use, and to provide customers with a low cost of deployment, a low total cost of ownership,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to the competitive advantages afforded by our technology, our large global network of distributors, resellers, third-party developers, customers, educational institutions, faculty and students is a key competitive advantage. This network of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Autodesk products and extend them for a variety of specialized applications. Users with expertise in our products are broadly and globally available from educational institutions and the existing workforce. We offer a wide range of educational programs, including student versions of software, curricula and faculty development. We have an extensive global community of students who are experienced with our software and poised to become the next generation of professional users—thus reducing the cost of training and providing new talent for our customers. Our global network of distributors, resellers, third party developers, customers, educational institutions and students has been developed over our twenty-nine year history. We believe it is an enduring competitive advantage that is difficult for others to replicate.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growth strategy includes continually increasing the business value of our design tools to our customers in a number of ways. First, we seek to address an increasing portion of our customers’ workflow with products that extend the value of our customers’ digital design information into visualization, analysis and simulation. Second, we seek to improve our product interoperability and usability, thus improving our customers’ productivity and effectiveness. Third, we continue to develop new ways to deliver capability and value to our customers, such as product suites, software-as-a-service, and delivery of our solutions on mobile devices and new hardware platforms. Fourth, we extend our customers’ workflow with products for adjacent users and for the “customers of our customers,” thus increasing the value of the design information our customers produce. Finally, we continue to develop new lines of consumer products and services that are delivered and experienced through the Web, tablets, and mobile devices providing our advanced visualization technologies to consumers—a whole new category of Autodesk customer.</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believe that expanding our customers’ portfolios to include our suites presents a meaningful growth opportunity and is an important part of our overall strategy. As our customers in all industries adopt our design suites, we believe they will experience an increase in their productivity and the value of their design data. For the three and nine months ended October 31, 2011, revenue from suites increased 36% and 33%, respectively, as compared to the same periods in the prior fiscal year. As a percentage of total net revenue suites revenue increased to 27% in both the three and nine months ended October 31, 2011 as compared to 23% in both the three and nine months ended October 31, 2010.</w:t>
      </w:r>
    </w:p>
    <w:p>
      <w:pPr>
        <w:spacing w:after="0" w:line="1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Expanding our geographic coverage is another key element of our growth strategy. While emerging markets are important for many global businesses, we believe they hold special opportunity for us. Much of the growth in the world’s construction and manufacturing is happening in emerging markets. Further, emerging markets face many of the challenges that our design technology can help address, for example infrastructure build-out. We believe that emerging economies continue to present long-term growth opportunities for us. Revenue from emerging countries increased 15% and 17% during the three and nine months ended October 31, 2011, respectively, as compared to the same periods in the prior fiscal year. Revenue from emerging countries represented 16% of total net revenue for both the three and nine months ended October 31, 2011, as compared to 16% and 15% during the three and nine months ended October 31, 2010, respectively.</w:t>
      </w:r>
    </w:p>
    <w:p>
      <w:pPr>
        <w:spacing w:after="0" w:line="14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While we believe there are long-term growth opportunities in emerging economies, conducting business in these countries presents significant challenges, including economic volatility, geopolitical risk, local competition, intellectual property protection, poorly developed business infrastructure, scarcity of talent and software piracy.</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acquire products, technology and businesses as compelling opportunities that promote our strategy become available. We have increased the number, pace and dollars spent on acquisitions in comparison to fiscal 2011 but remain informed by and dependent on our business needs, the availability of suitable sellers and technology, and our own financial condition.</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strategy depends upon a number of assumptions, including that we will be able to continue making our technology available to mainstream markets; leverage our large global network of distributors, resellers, third-party developers, customers, educational institutions, and students; drive adoption of our suites; improve the performance and functionality of our products; and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Condensed Consolidated Financial Statements are prepared in conformity with U.S. generally accepted accounting principles.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2011 (the “2011 Form 10-K”). In addition, we highlighted those policies that involve a higher degree of judgment and complexity with further discussion of these judgmental areas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Item 7, “Management’s Discussion and Analysis of Financial Condition and Results of Operations” in the 2011 Form 10-K. We believe these policies are the most critical to aid in fully understanding and evaluating our financial condition and results of operations. Updates on the relevant periodic financial disclosures related to these policies are provided below.</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As of October 31, 2011, a hypothetical 10% decrease in the fair value of our reporting units would not have an impact on the carrying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nor result in impairment of goodwill. For further discussion see Note 10, “Goodwill,” in the Notes to the Condensed Consolidated Financial Statements.</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currently have $172.9 million of net deferred tax assets, primarily a result of state research and development credits, net operating losses,</w:t>
      </w:r>
      <w:r>
        <w:rPr>
          <w:rFonts w:ascii="Arial" w:cs="Arial" w:eastAsia="Arial" w:hAnsi="Arial"/>
          <w:sz w:val="16"/>
          <w:szCs w:val="16"/>
          <w:i w:val="1"/>
          <w:iCs w:val="1"/>
          <w:color w:val="auto"/>
        </w:rPr>
        <w:t xml:space="preserve"> </w:t>
      </w:r>
      <w:r>
        <w:rPr>
          <w:rFonts w:ascii="Arial" w:cs="Arial" w:eastAsia="Arial" w:hAnsi="Arial"/>
          <w:sz w:val="16"/>
          <w:szCs w:val="16"/>
          <w:color w:val="auto"/>
        </w:rPr>
        <w:t>and timing differences for reserves, accrued liabilities, stock options, purchased technologies and capitalized intangibles, partially offset by the establishment of U.S. deferred tax liabilities on unremitted earnings from certain foreign subsidiaries, deferred tax liabilities associated with tax method change on advanced payments and valuation allowances against California and Canadian deferred tax assets. We perform a quarterly assessment of the recoverability of these net deferred tax assets and believe that we will generate sufficient future taxable income in appropriate tax jurisdictions to realize the net deferred tax assets. Our judgments regarding future profitability may change due to future market conditions and other factors. Any change in future profitability may require material adjustments to these net deferred tax assets, resulting in a reduction in net income in the period when such determination is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and Nine Months Ended October 31,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9"/>
              </w:rPr>
              <w:t>Three Months Ended</w:t>
            </w:r>
          </w:p>
        </w:tc>
        <w:tc>
          <w:tcPr>
            <w:tcW w:w="17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9"/>
              </w:rPr>
              <w:t>As a % of Net</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74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As a % of Net</w:t>
            </w:r>
          </w:p>
        </w:tc>
        <w:tc>
          <w:tcPr>
            <w:tcW w:w="0" w:type="dxa"/>
            <w:vAlign w:val="bottom"/>
          </w:tcPr>
          <w:p>
            <w:pPr>
              <w:spacing w:after="0"/>
              <w:rPr>
                <w:sz w:val="1"/>
                <w:szCs w:val="1"/>
                <w:color w:val="auto"/>
              </w:rPr>
            </w:pPr>
          </w:p>
        </w:tc>
      </w:tr>
      <w:tr>
        <w:trPr>
          <w:trHeight w:val="161"/>
        </w:trPr>
        <w:tc>
          <w:tcPr>
            <w:tcW w:w="33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5"/>
              </w:rPr>
              <w:t>October 31, 2011</w:t>
            </w:r>
          </w:p>
        </w:tc>
        <w:tc>
          <w:tcPr>
            <w:tcW w:w="17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5"/>
              </w:rPr>
              <w:t>Revenue</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October 31, 2010</w:t>
            </w:r>
          </w:p>
        </w:tc>
        <w:tc>
          <w:tcPr>
            <w:tcW w:w="74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Revenue</w:t>
            </w:r>
          </w:p>
        </w:tc>
        <w:tc>
          <w:tcPr>
            <w:tcW w:w="1500" w:type="dxa"/>
            <w:vAlign w:val="bottom"/>
            <w:vMerge w:val="restart"/>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84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720" w:type="dxa"/>
            <w:vAlign w:val="bottom"/>
            <w:vMerge w:val="continue"/>
            <w:shd w:val="clear" w:color="auto" w:fill="CCEEFF"/>
          </w:tcPr>
          <w:p>
            <w:pPr>
              <w:spacing w:after="0"/>
              <w:rPr>
                <w:sz w:val="18"/>
                <w:szCs w:val="18"/>
                <w:color w:val="auto"/>
              </w:rPr>
            </w:pPr>
          </w:p>
        </w:tc>
        <w:tc>
          <w:tcPr>
            <w:tcW w:w="1700" w:type="dxa"/>
            <w:vAlign w:val="bottom"/>
            <w:tcBorders>
              <w:left w:val="single" w:sz="8" w:color="CCEEFF"/>
              <w:right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74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1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720" w:type="dxa"/>
            <w:vAlign w:val="bottom"/>
          </w:tcPr>
          <w:p>
            <w:pPr>
              <w:spacing w:after="0"/>
              <w:rPr>
                <w:sz w:val="19"/>
                <w:szCs w:val="19"/>
                <w:color w:val="auto"/>
              </w:rPr>
            </w:pPr>
          </w:p>
        </w:tc>
        <w:tc>
          <w:tcPr>
            <w:tcW w:w="1700" w:type="dxa"/>
            <w:vAlign w:val="bottom"/>
            <w:gridSpan w:val="2"/>
          </w:tcPr>
          <w:p>
            <w:pPr>
              <w:ind w:left="640"/>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489.0</w:t>
            </w:r>
          </w:p>
        </w:tc>
        <w:tc>
          <w:tcPr>
            <w:tcW w:w="1700" w:type="dxa"/>
            <w:vAlign w:val="bottom"/>
            <w:tcBorders>
              <w:left w:val="single" w:sz="8" w:color="CCEEFF"/>
              <w:righ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w:t>
            </w:r>
          </w:p>
        </w:tc>
        <w:tc>
          <w:tcPr>
            <w:tcW w:w="720" w:type="dxa"/>
            <w:vAlign w:val="bottom"/>
          </w:tcPr>
          <w:p>
            <w:pPr>
              <w:spacing w:after="0"/>
              <w:rPr>
                <w:sz w:val="19"/>
                <w:szCs w:val="19"/>
                <w:color w:val="auto"/>
              </w:rPr>
            </w:pPr>
          </w:p>
        </w:tc>
        <w:tc>
          <w:tcPr>
            <w:tcW w:w="1700" w:type="dxa"/>
            <w:vAlign w:val="bottom"/>
            <w:gridSpan w:val="2"/>
          </w:tcPr>
          <w:p>
            <w:pPr>
              <w:ind w:left="640"/>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00" w:type="dxa"/>
            <w:vAlign w:val="bottom"/>
            <w:shd w:val="clear" w:color="auto" w:fill="CCEEFF"/>
          </w:tcPr>
          <w:p>
            <w:pPr>
              <w:spacing w:after="0"/>
              <w:rPr>
                <w:sz w:val="18"/>
                <w:szCs w:val="18"/>
                <w:color w:val="auto"/>
              </w:rPr>
            </w:pPr>
          </w:p>
        </w:tc>
        <w:tc>
          <w:tcPr>
            <w:tcW w:w="14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720" w:type="dxa"/>
            <w:vAlign w:val="bottom"/>
            <w:shd w:val="clear" w:color="auto" w:fill="CCEEFF"/>
          </w:tcPr>
          <w:p>
            <w:pPr>
              <w:spacing w:after="0"/>
              <w:rPr>
                <w:sz w:val="18"/>
                <w:szCs w:val="18"/>
                <w:color w:val="auto"/>
              </w:rPr>
            </w:pPr>
          </w:p>
        </w:tc>
        <w:tc>
          <w:tcPr>
            <w:tcW w:w="1700" w:type="dxa"/>
            <w:vAlign w:val="bottom"/>
            <w:tcBorders>
              <w:left w:val="single" w:sz="8" w:color="CCEEFF"/>
              <w:righ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Nine Months Ended</w:t>
            </w:r>
          </w:p>
        </w:tc>
        <w:tc>
          <w:tcPr>
            <w:tcW w:w="17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9"/>
              </w:rPr>
              <w:t>As a % of Net</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74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As a % of Net</w:t>
            </w:r>
          </w:p>
        </w:tc>
        <w:tc>
          <w:tcPr>
            <w:tcW w:w="0" w:type="dxa"/>
            <w:vAlign w:val="bottom"/>
          </w:tcPr>
          <w:p>
            <w:pPr>
              <w:spacing w:after="0"/>
              <w:rPr>
                <w:sz w:val="1"/>
                <w:szCs w:val="1"/>
                <w:color w:val="auto"/>
              </w:rPr>
            </w:pPr>
          </w:p>
        </w:tc>
      </w:tr>
      <w:tr>
        <w:trPr>
          <w:trHeight w:val="161"/>
        </w:trPr>
        <w:tc>
          <w:tcPr>
            <w:tcW w:w="33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7"/>
              </w:rPr>
              <w:t>October 31, 2011</w:t>
            </w:r>
          </w:p>
        </w:tc>
        <w:tc>
          <w:tcPr>
            <w:tcW w:w="17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5"/>
              </w:rPr>
              <w:t>Revenue</w:t>
            </w:r>
          </w:p>
        </w:tc>
        <w:tc>
          <w:tcPr>
            <w:tcW w:w="80" w:type="dxa"/>
            <w:vAlign w:val="bottom"/>
          </w:tcPr>
          <w:p>
            <w:pPr>
              <w:spacing w:after="0"/>
              <w:rPr>
                <w:sz w:val="14"/>
                <w:szCs w:val="14"/>
                <w:color w:val="auto"/>
              </w:rPr>
            </w:pPr>
          </w:p>
        </w:tc>
        <w:tc>
          <w:tcPr>
            <w:tcW w:w="1100" w:type="dxa"/>
            <w:vAlign w:val="bottom"/>
          </w:tcPr>
          <w:p>
            <w:pPr>
              <w:jc w:val="center"/>
              <w:ind w:right="34"/>
              <w:spacing w:after="0"/>
              <w:rPr>
                <w:sz w:val="20"/>
                <w:szCs w:val="20"/>
                <w:color w:val="auto"/>
              </w:rPr>
            </w:pPr>
            <w:r>
              <w:rPr>
                <w:rFonts w:ascii="Arial" w:cs="Arial" w:eastAsia="Arial" w:hAnsi="Arial"/>
                <w:sz w:val="14"/>
                <w:szCs w:val="14"/>
                <w:b w:val="1"/>
                <w:bCs w:val="1"/>
                <w:color w:val="auto"/>
                <w:w w:val="87"/>
              </w:rPr>
              <w:t>October 31, 2010</w:t>
            </w:r>
          </w:p>
        </w:tc>
        <w:tc>
          <w:tcPr>
            <w:tcW w:w="74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Revenue</w:t>
            </w:r>
          </w:p>
        </w:tc>
        <w:tc>
          <w:tcPr>
            <w:tcW w:w="1500" w:type="dxa"/>
            <w:vAlign w:val="bottom"/>
            <w:vMerge w:val="restart"/>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4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1,623.2</w:t>
            </w:r>
          </w:p>
        </w:tc>
        <w:tc>
          <w:tcPr>
            <w:tcW w:w="720" w:type="dxa"/>
            <w:vAlign w:val="bottom"/>
            <w:shd w:val="clear" w:color="auto" w:fill="CCEEFF"/>
          </w:tcPr>
          <w:p>
            <w:pPr>
              <w:spacing w:after="0"/>
              <w:rPr>
                <w:sz w:val="18"/>
                <w:szCs w:val="18"/>
                <w:color w:val="auto"/>
              </w:rPr>
            </w:pPr>
          </w:p>
        </w:tc>
        <w:tc>
          <w:tcPr>
            <w:tcW w:w="1700" w:type="dxa"/>
            <w:vAlign w:val="bottom"/>
            <w:tcBorders>
              <w:left w:val="single" w:sz="8" w:color="CCEEFF"/>
              <w:right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1,424.1</w:t>
            </w:r>
          </w:p>
        </w:tc>
        <w:tc>
          <w:tcPr>
            <w:tcW w:w="74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1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720" w:type="dxa"/>
            <w:vAlign w:val="bottom"/>
          </w:tcPr>
          <w:p>
            <w:pPr>
              <w:spacing w:after="0"/>
              <w:rPr>
                <w:sz w:val="19"/>
                <w:szCs w:val="19"/>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1,451.6</w:t>
            </w:r>
          </w:p>
        </w:tc>
        <w:tc>
          <w:tcPr>
            <w:tcW w:w="720" w:type="dxa"/>
            <w:vAlign w:val="bottom"/>
            <w:shd w:val="clear" w:color="auto" w:fill="CCEEFF"/>
          </w:tcPr>
          <w:p>
            <w:pPr>
              <w:spacing w:after="0"/>
              <w:rPr>
                <w:sz w:val="18"/>
                <w:szCs w:val="18"/>
                <w:color w:val="auto"/>
              </w:rPr>
            </w:pPr>
          </w:p>
        </w:tc>
        <w:tc>
          <w:tcPr>
            <w:tcW w:w="1700" w:type="dxa"/>
            <w:vAlign w:val="bottom"/>
            <w:tcBorders>
              <w:left w:val="single" w:sz="8" w:color="CCEEFF"/>
              <w:righ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1,275.9</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1,187.8</w:t>
            </w:r>
          </w:p>
        </w:tc>
        <w:tc>
          <w:tcPr>
            <w:tcW w:w="720" w:type="dxa"/>
            <w:vAlign w:val="bottom"/>
          </w:tcPr>
          <w:p>
            <w:pPr>
              <w:spacing w:after="0"/>
              <w:rPr>
                <w:sz w:val="19"/>
                <w:szCs w:val="19"/>
                <w:color w:val="auto"/>
              </w:rPr>
            </w:pPr>
          </w:p>
        </w:tc>
        <w:tc>
          <w:tcPr>
            <w:tcW w:w="1700" w:type="dxa"/>
            <w:vAlign w:val="bottom"/>
            <w:gridSpan w:val="2"/>
          </w:tcPr>
          <w:p>
            <w:pPr>
              <w:ind w:left="660"/>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1,076.1</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720" w:type="dxa"/>
            <w:vAlign w:val="bottom"/>
            <w:shd w:val="clear" w:color="auto" w:fill="CCEEFF"/>
          </w:tcPr>
          <w:p>
            <w:pPr>
              <w:spacing w:after="0"/>
              <w:rPr>
                <w:sz w:val="18"/>
                <w:szCs w:val="18"/>
                <w:color w:val="auto"/>
              </w:rPr>
            </w:pPr>
          </w:p>
        </w:tc>
        <w:tc>
          <w:tcPr>
            <w:tcW w:w="1700" w:type="dxa"/>
            <w:vAlign w:val="bottom"/>
            <w:tcBorders>
              <w:left w:val="single" w:sz="8" w:color="CCEEFF"/>
              <w:righ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both the three and nine months ended October 31, 2011, our business grew year over year as evidenced by our increases in revenue, gross profit and income from operations. Contributing to the year over year increases in revenue were increases in revenue from new seat license revenue and maintenance revenue. In addition, we experienced increases in revenue for most of our major products, all of our reportable segments, and all of our geographic areas during three and nine months ended October 31, 2011 as compared to the same periods in the prior fiscal year. The reasons for these increases are discussed below under the heading “Results of Operations.” In addition, we continued to control our operating costs, which led to year over year improvements in profitability. The 30% and 32% increase in income from operations in the three and nine months ended October 31, 2011, respectively, as compared to the same periods in the prior fiscal year, was due to the increase in our net revenue, while controlling the growth of operating expenses.</w:t>
      </w:r>
    </w:p>
    <w:p>
      <w:pPr>
        <w:spacing w:after="0" w:line="118"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Our total operating margin increased as a percentage of revenue from 15% for the three months ended October 31, 2010 to 16% during the three months ended October 31, 2011. Our total operating margin increased as a percentage of revenue from 14% for the nine months ended October 31, 2010 to 16% during the nine months ended October 31, 2011. The increase in our operating margin was primarily because net revenue increased at a faster rate than the increase in our costs due to cost containment efforts that have continued through the year. Net revenue increased $71.9 million or 15% for the three months ended October 31, 2011, as compared to the same period in the prior fiscal year, while our operating expenses increased $39.8 million, or 11% for the three months ended October 31, 2011. Net revenue increased $199.1 million or 14% for the nine months ended October 31, 2011, as compared to the same period in the prior fiscal year, while our operating expenses increased $111.7 million, or 10% for the nine months ended October 31, 2011. The 11% and 10% increase in operating expenses in the three and nine months ended October 31, 2011, respectively, as compared to the three and nine months ended October 31, 2010 was due to an increase in salaries and benefits due to increased headcount and the return of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employee costs which were temporarily suppressed in the prior year such as salary reductions, employee incentives and mandatory vacation, and other costs associated with higher revenue. These increases were partially offset by the decrease in restructuring charges of $10.3 million for the nine months ended October 31, 2011.</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generate a majority of our revenue in the U.S., Japan, Germany, the United Kingdom and France. Included in the overall increase in revenue were impacts associated with foreign currency. Our revenue benefited from foreign exchange rate changes during the three and nine months ended October 31, 2011, as compared to the same periods in the prior fiscal year. During the three and nine months ended October 31, 2011, net revenue increased 15% and 14%, respectively, compared to the same periods in the prior fiscal year; had applicable exchange rates from the three and nine months ended October 31, 2010 been in effect during the three and nine months ended October 31, 2011, and had we excluded foreign exchange hedge gains and losses from the three and nine months ended October 31, 2011 and 2010 (“on a constant currency basis”), net revenue would have increased 12% and 13%, respectively, compared to the same periods in the prior fiscal year. During the three and nine months ended October 31, 2011, total spend, defined as cost of revenue plus operating expenses, increased 12% and 11%, respectively, compared to the same periods in the prior fiscal year as reported and increased 9% and 8%, respectively, on a constant currency basis. 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 of such foreign currency against the U.S. dollar.</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Tech Data Corporation and its global affiliates (collectively, “Tech Data”). Tech Data accounted for 16% of our total net revenue during the three and nine months ended October 31, 2011. Tech Data accounted for 15% and 16% of our total net revenue during the three and nine months ended October 31, 2010, respectively. On October 27, 2011, Tech Data purchased certain assets of Mensch und Maschine Software (“MuM”), which has been a distributor of our products in Europe. The acquisition concentrates additional sales through Tech Data, and on a consolidated basis would have accounted for 20% and 22% of our revenue for the three and nine months ended October 31, 2011, respectively if the acquisition had occurred on February 1, 2011. We believe our business is not substantially dependent on Tech Data, including following the acquisition of certain assets of MuM. Our customers through Tech Data are the resellers and end users who purchase our software licenses and services. Should any of the agreements between us and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w:t>
      </w:r>
    </w:p>
    <w:p>
      <w:pPr>
        <w:spacing w:after="0" w:line="12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Our primary goals for the remainder of fiscal 2012 are to grow revenue and improve our operating margin percentage by delivering our market-leading products and solutions to our customers and investing in product functionality and new product lines, including suites offerings. However, there can be no assurance that we will achieve our financial goals and improve our financial results. Additionally, we believe that unemployment rates and the availability of credit to major industries we serve are important indicators for our business; if global economic conditions deteriorate we may not achieve our financial goals.</w:t>
      </w:r>
    </w:p>
    <w:p>
      <w:pPr>
        <w:spacing w:after="0" w:line="11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Revenue from flagship products was 57% and 58% of total net revenue during the three and nine months ended October 31, 2011, respectively, and increased 8% for both the three and nine months ended October 31, 2011, as compared to the same periods in the prior fiscal year. Revenue from suites was 27% of total net revenue for both the three and nine months ended October 31, 2011, and increased 36% and 33%, respectively, as compared to the same periods in the prior fiscal year. During the nine months ended October 2011, we released our new design and creation suites that include English language versions of our Autodesk Design Suite, Autodesk Factory Design Suite, Autodesk Product Design Suite, Autodesk Building Design Suite, Autodesk Entertainment Creation Suite, Autodesk Infrastructure Design Suite and Autodesk Plant Design Suite, as well as a Japanese language version of our Autodesk Entertainment Creation Suite. Suites revenue and growth rates for suites consist primarily of revenue from our pre-existing suite families, such as Inventor and Revit suites. Revenue from new and adjacent products was 16% and 15% of total net revenue during the three and nine months ended October 31, 2011, respectively, and increased 11% and 8%, respectively, as compared to the same periods in the prior fiscal year. We anticipate, as our new and existing customers migrate from our stand-alone products, that our revenue from suites will increase as a percentage of revenue and that our revenue from our flagship and new and adjacent products will decline as a percentage of revenue.</w:t>
      </w:r>
    </w:p>
    <w:p>
      <w:pPr>
        <w:spacing w:after="0" w:line="12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At October 31, 2011, we had $1,534.2 million in cash and marketable securities. We completed the quarter ended October 31, 2011 with a higher deferred revenue balance and a lower accounts receivable balance as compared to the fiscal year ended January 31, 2011. Our deferred revenue balance at October 31, 2011 included $552.9 million related to customer maintenance contracts, which will be recognized as revenue ratably over the life of the contracts. Our maintenance contracts are for a term of predominantly one year, but may be two or three years, or occasionally as long as five year terms. We repurchased 3.5 million shares of our common stock for $94.3 million during the three months ended October 31, 2011 and</w:t>
      </w:r>
    </w:p>
    <w:p>
      <w:pPr>
        <w:spacing w:after="0" w:line="1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7.7 million shares of our common stock for $263.7 million during the nine months ended October 31, 2011. Comparatively, we repurchased 2.5 million shares of our common stock for $74.9 million during the three months ended October 31, 2010 and we repurchased 7.0 million shares of our common stock for $204.1 million during the nine months ended October 31,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Three Months</w:t>
            </w:r>
          </w:p>
        </w:tc>
        <w:tc>
          <w:tcPr>
            <w:tcW w:w="320" w:type="dxa"/>
            <w:vAlign w:val="bottom"/>
          </w:tcPr>
          <w:p>
            <w:pPr>
              <w:spacing w:after="0"/>
              <w:rPr>
                <w:sz w:val="14"/>
                <w:szCs w:val="14"/>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8"/>
              </w:rPr>
              <w:t>Increase compared to</w:t>
            </w:r>
          </w:p>
        </w:tc>
        <w:tc>
          <w:tcPr>
            <w:tcW w:w="120" w:type="dxa"/>
            <w:vAlign w:val="bottom"/>
          </w:tcPr>
          <w:p>
            <w:pPr>
              <w:spacing w:after="0"/>
              <w:rPr>
                <w:sz w:val="14"/>
                <w:szCs w:val="14"/>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Nine Months</w:t>
            </w:r>
          </w:p>
        </w:tc>
        <w:tc>
          <w:tcPr>
            <w:tcW w:w="18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89"/>
              </w:rPr>
              <w:t>Increase compared to</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3"/>
              </w:rPr>
              <w:t>prior fiscal year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4"/>
                <w:szCs w:val="14"/>
                <w:color w:val="auto"/>
              </w:rPr>
            </w:pPr>
          </w:p>
        </w:tc>
        <w:tc>
          <w:tcPr>
            <w:tcW w:w="16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5"/>
              </w:rPr>
              <w:t>prior fiscal year</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2"/>
        </w:trPr>
        <w:tc>
          <w:tcPr>
            <w:tcW w:w="280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October 31, 2011</w:t>
            </w: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2010</w:t>
            </w: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2011</w:t>
            </w: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October 31, 2010</w:t>
            </w:r>
          </w:p>
        </w:tc>
        <w:tc>
          <w:tcPr>
            <w:tcW w:w="0" w:type="dxa"/>
            <w:vAlign w:val="bottom"/>
          </w:tcPr>
          <w:p>
            <w:pPr>
              <w:spacing w:after="0"/>
              <w:rPr>
                <w:sz w:val="1"/>
                <w:szCs w:val="1"/>
                <w:color w:val="auto"/>
              </w:rPr>
            </w:pPr>
          </w:p>
        </w:tc>
      </w:tr>
      <w:tr>
        <w:trPr>
          <w:trHeight w:val="196"/>
        </w:trPr>
        <w:tc>
          <w:tcPr>
            <w:tcW w:w="2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331.4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49.4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987.4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144.9</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22.5</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635.8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2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00" w:type="dxa"/>
            <w:vAlign w:val="bottom"/>
          </w:tcPr>
          <w:p>
            <w:pPr>
              <w:spacing w:after="0"/>
              <w:rPr>
                <w:sz w:val="19"/>
                <w:szCs w:val="19"/>
                <w:color w:val="auto"/>
              </w:rPr>
            </w:pP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548.6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71.9</w:t>
            </w:r>
          </w:p>
        </w:tc>
        <w:tc>
          <w:tcPr>
            <w:tcW w:w="800" w:type="dxa"/>
            <w:vAlign w:val="bottom"/>
            <w:gridSpan w:val="2"/>
            <w:vMerge w:val="continue"/>
          </w:tcPr>
          <w:p>
            <w:pPr>
              <w:spacing w:after="0"/>
              <w:rPr>
                <w:sz w:val="19"/>
                <w:szCs w:val="19"/>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476.7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1,623.2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199.1</w:t>
            </w:r>
          </w:p>
        </w:tc>
        <w:tc>
          <w:tcPr>
            <w:tcW w:w="122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Net Revenue by Geographic Area:</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440"/>
              <w:spacing w:after="0"/>
              <w:rPr>
                <w:sz w:val="20"/>
                <w:szCs w:val="20"/>
                <w:color w:val="auto"/>
              </w:rPr>
            </w:pPr>
            <w:r>
              <w:rPr>
                <w:rFonts w:ascii="Arial" w:cs="Arial" w:eastAsia="Arial" w:hAnsi="Arial"/>
                <w:sz w:val="18"/>
                <w:szCs w:val="18"/>
                <w:color w:val="auto"/>
              </w:rPr>
              <w:t>Americas</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21.1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572.9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64.0</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Europe, Middle East and Africa</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6"/>
              </w:rPr>
              <w:t>18.9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628.7</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440"/>
              <w:spacing w:after="0"/>
              <w:rPr>
                <w:sz w:val="20"/>
                <w:szCs w:val="20"/>
                <w:color w:val="auto"/>
              </w:rPr>
            </w:pPr>
            <w:r>
              <w:rPr>
                <w:rFonts w:ascii="Arial" w:cs="Arial" w:eastAsia="Arial" w:hAnsi="Arial"/>
                <w:sz w:val="18"/>
                <w:szCs w:val="18"/>
                <w:color w:val="auto"/>
              </w:rPr>
              <w:t>Asia Pacific</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31.9</w:t>
            </w:r>
          </w:p>
        </w:tc>
        <w:tc>
          <w:tcPr>
            <w:tcW w:w="3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421.6</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76.7</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6"/>
              </w:rPr>
              <w:t>71.9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199.1</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color w:val="auto"/>
                <w:w w:val="94"/>
              </w:rPr>
              <w:t>Net Revenue by Operating Segment:</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Platform Solutions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and Emerging Business</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6"/>
              </w:rPr>
              <w:t>36.4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800" w:type="dxa"/>
            <w:vAlign w:val="bottom"/>
          </w:tcPr>
          <w:p>
            <w:pPr>
              <w:ind w:left="440"/>
              <w:spacing w:after="0"/>
              <w:rPr>
                <w:sz w:val="20"/>
                <w:szCs w:val="20"/>
                <w:color w:val="auto"/>
              </w:rPr>
            </w:pPr>
            <w:r>
              <w:rPr>
                <w:rFonts w:ascii="Arial" w:cs="Arial" w:eastAsia="Arial" w:hAnsi="Arial"/>
                <w:sz w:val="18"/>
                <w:szCs w:val="18"/>
                <w:color w:val="auto"/>
                <w:w w:val="98"/>
              </w:rPr>
              <w:t>Architecture, Engineering 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0" w:type="dxa"/>
            <w:vAlign w:val="bottom"/>
          </w:tcPr>
          <w:p>
            <w:pPr>
              <w:ind w:left="660"/>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15.8</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451.5</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45.2</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Manufacturing</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6"/>
              </w:rPr>
              <w:t>16.8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392.5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440"/>
              <w:spacing w:after="0"/>
              <w:rPr>
                <w:sz w:val="20"/>
                <w:szCs w:val="20"/>
                <w:color w:val="auto"/>
              </w:rPr>
            </w:pPr>
            <w:r>
              <w:rPr>
                <w:rFonts w:ascii="Arial" w:cs="Arial" w:eastAsia="Arial" w:hAnsi="Arial"/>
                <w:sz w:val="18"/>
                <w:szCs w:val="18"/>
                <w:color w:val="auto"/>
              </w:rPr>
              <w:t>Media and Entertainment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160.5</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14.6</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6"/>
              </w:rPr>
              <w:t>71.9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199.1</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License and Other Revenue</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License and other revenue is comprised of two components: all forms of product license revenue and other revenue. Product license revenue includes revenue from the sale of new seat licenses and upgrades. Other revenue consists of revenue from Creative Finishing, consulting and training services and collaborative project management services.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Total license and other revenue increased 18% during the three months ended October 31, 2011, as compared to the three months ended October 31, 2010. This increase was primarily due to the 11% increase in revenue from commercial new seat licenses during the three months as compared to the same period in the prior fiscal year. During the three months ended October 31, 2011, the 11% increase in commercial new seat licenses was due to the increase in the number of seats sold. Commercial new seat license revenue, as a percentage of license and other revenue, was 66% and 70% for the three months ended October 31, 2011 and 2010, respectively.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Total license and other revenue increased 17% during the nine months ended October 31, 2011, as compared to the nine months ended October 31, 2010. This increase was primarily due to the 15% increase in revenue from commercial new seat licenses during the nine months as compared to the same period in the prior fiscal year. During the nine months ended October 31, 2011, 11 percentage points of the 15% increase in commercial new seat licenses was due to the increase in the number of seats sold and 4 percentage points was due to an increase in the average net revenue per seat. Commercial new seat license revenue, as a percentage of license and other revenue, was 67% and 69% for the nine months ended October 31, 2011 and 2010, respectively.</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Also contributing to the increase in license and other revenue during the three and nine months ended October 31, 2011, as compared to the same periods in the prior fiscal year, was an increase in upgrade revenue, of 17% and 29%, respectively. Upgrade revenue was higher during the three months ended October 31, 2011 as compared to the same period in the prior fiscal year due to an increase in large enterprise transactions, customers migrating from stand alone products to suites and a promotion that was run related to the education solutions suites. Upgrade revenue was higher during the nine months ended October 31, 2011, as compared to the same period of the prior fiscal year, primarily due to an ACAD LT upgrade promotion during the first quarter of fiscal 2012 and the promotion related to the education solutions suites in the third quarter of fiscal 2012 mentioned above.</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Revenue from the sales of our services, training and support, included in “License and other revenue,” represented less than 3% of total net revenue for all periods presented.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Maintenance Revenue</w:t>
      </w:r>
    </w:p>
    <w:p>
      <w:pPr>
        <w:spacing w:after="0" w:line="90"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Our maintenance revenue relates to a program known by our user community as the Subscription Program. Our maintenance program provides our commercial and educational customers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maintenance contract periods.</w:t>
      </w:r>
    </w:p>
    <w:p>
      <w:pPr>
        <w:spacing w:after="0" w:line="9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Maintenance revenue increased 12% during the three months ended October 31, 2011, as compared to the three months ended October 31, 2010, primarily due to an 11% increase in commercial maintenance revenue. The 11% increase in commercial maintenance revenue was due to an 8 percentage point increase from commercial enrollment during the corresponding maintenance contract term and a 3 percentage point increase from net revenue per maintenance seat. Commercial maintenance revenue represented 98% of maintenance revenue for both the three months ended October 31, 2011 and 2010.</w:t>
      </w:r>
    </w:p>
    <w:p>
      <w:pPr>
        <w:spacing w:after="0" w:line="113" w:lineRule="exact"/>
        <w:rPr>
          <w:sz w:val="20"/>
          <w:szCs w:val="20"/>
          <w:color w:val="auto"/>
        </w:rPr>
      </w:pPr>
    </w:p>
    <w:p>
      <w:pPr>
        <w:jc w:val="both"/>
        <w:ind w:right="260" w:firstLine="456"/>
        <w:spacing w:after="0" w:line="303" w:lineRule="auto"/>
        <w:rPr>
          <w:sz w:val="20"/>
          <w:szCs w:val="20"/>
          <w:color w:val="auto"/>
        </w:rPr>
      </w:pPr>
      <w:r>
        <w:rPr>
          <w:rFonts w:ascii="Arial" w:cs="Arial" w:eastAsia="Arial" w:hAnsi="Arial"/>
          <w:sz w:val="15"/>
          <w:szCs w:val="15"/>
          <w:color w:val="auto"/>
        </w:rPr>
        <w:t>Maintenance revenue increased 9% during the nine months ended October 31, 2011, as compared to the nine months ended October 31, 2010, primarily due to a 9% increase in commercial maintenance revenue. The 9% increase in commercial maintenance revenue was due to a 7 percentage point increase from commercial enrollment during the corresponding maintenance contract term and a 2 percentage point increase from net revenue per maintenance seat.</w:t>
      </w:r>
    </w:p>
    <w:p>
      <w:pPr>
        <w:spacing w:after="0" w:line="1" w:lineRule="exact"/>
        <w:rPr>
          <w:sz w:val="20"/>
          <w:szCs w:val="20"/>
          <w:color w:val="auto"/>
        </w:rPr>
      </w:pPr>
    </w:p>
    <w:p>
      <w:pPr>
        <w:jc w:val="both"/>
        <w:ind w:right="260"/>
        <w:spacing w:after="0" w:line="323" w:lineRule="auto"/>
        <w:rPr>
          <w:sz w:val="20"/>
          <w:szCs w:val="20"/>
          <w:color w:val="auto"/>
        </w:rPr>
      </w:pPr>
      <w:r>
        <w:rPr>
          <w:rFonts w:ascii="Arial" w:cs="Arial" w:eastAsia="Arial" w:hAnsi="Arial"/>
          <w:sz w:val="16"/>
          <w:szCs w:val="16"/>
          <w:color w:val="auto"/>
        </w:rPr>
        <w:t>Commercial maintenance revenue represented 98% of maintenance revenue for the both the nine months ended October 31, 2011 and 2010. Total subscription program enrollment at both October 31, 2011 and January 31, 2011 consisted of about 3.1 and 2.9 million users, respectively.</w:t>
      </w:r>
    </w:p>
    <w:p>
      <w:pPr>
        <w:spacing w:after="0" w:line="9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Changes in maintenance revenue lag changes in net billings for maintenance contracts because we recognize the revenue from those contracts ratably over their contract terms. Our maintenance contracts are for a term of predominantly one year, but may be two or three years, or occasionally as long as five year terms. Net maintenance billings increased 18% and 20% during the three and nine months ended October 31, 2011, respectively, as compared to the three and nine months ended October 31, 2010. This increase was due to an increase in maintenance renewals, new multi-year maintenance contracts, and the impact from the upgrade promotions mentioned above in “License and Other Revenue.”</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Deferred revenue at October 31, 2011 and January 31, 2011, was $619.9 million and $587.9 million, respectively. Deferred revenue consists primarily of deferred maintenance revenue. To a lesser extent, deferred revenue consists of deferred license and other revenue derived from collaborative project management services, consulting services and deferred license sales.</w:t>
      </w:r>
    </w:p>
    <w:p>
      <w:pPr>
        <w:spacing w:after="0" w:line="14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Backlog related to current software license product orders that had not shipped at the end of the quarter decreased by $5.5 million during the nine months ended October 31, 2011 from $27.5 million at January 31, 2011 to $22.0 million at October 31, 2011. Backlog from current software license product orders that we have not yet shipped consists of orders for currently available licensed software products from customers with approved credit status and may include orders with current ship dates and orders with ship dates beyond the current fiscal period.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Geographic Area</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Net revenue in the Americas geography increased by 12% during the three months ended October 31, 2011, as compared to the same period in the prior fiscal year. This increase in net revenue in the Americas was primarily due to a 53% increase in upgrade revenue, primarily driven by a promotion related to our education solutions suites, and a 9% increase in maintenance revenue. Net revenue in the Americas geography increased by 13% during the nine months ended October 31, 2011, as compared to the same period in the prior fiscal year. This increase was primarily due to a 12% increase in new seat revenue and a 52% increase in upgrade revenue, primarily driven by a promotion related to our education solution suites, in the Americas during the nine months ended October 31, 2011 as compared to the nine months ended October 31, 2010. Maintenance revenue increased 9% during the nine months ended October 31, 2011 as compared to the same period in the prior fiscal year.</w:t>
      </w:r>
    </w:p>
    <w:p>
      <w:pPr>
        <w:spacing w:after="0" w:line="118"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Net revenue in the EMEA geography increased by 10%, or 8% on a constant currency basis, during the three months ended October 31, 2011 as compared to the same period in the prior fiscal year. The increase was primarily due to a 15% increase in new seat revenue and a 10% increase in maintenance revenue in the EMEA geography during the three months ended October 31, 2011 as compared to the three months ended October 31, 2010. The increase in our revenue in this geography was led by the United Kingdom, Germany and France. Net revenue in the EMEA geography increased by 10%, or 11% on a constant currency basis, during the nine months ended October 31, 2011 as compared to the same period in the prior fiscal year. The increase was primarily due to a 14% increase in new seat revenue and a 5% increase in maintenance revenue in this geography during the nine months ended October 31, 2011 as compared to the nine months ended October 31, 2010. The increase in our revenue in this geography was led by the Russian Federation, the United Kingdom and Belgium.</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Net revenue in the APAC geography increased by 28%, or 19% on a constant currency basis, during the three months ended October 31, 2011, as compared to the same period in the prior fiscal year, primarily due to a 20% increase in new seat revenue and a 21% increase in maintenance revenue. Net revenue expansion in this geography during the three months ended October 31, 2011 was led by Japan, Australia and South Korea. Net revenue in the APAC geography increased by 22%, or 15% on a constant currency basis, during the nine months ended October 31, 2011, as compared to the same period in the prior fiscal year, primarily due to a 19% increase in new seat revenue and 21% increase in maintenance revenue. Net revenue expansion in this geography during the nine months ended October 31, 2011 was led by Japan, Australia and South Korea. Net revenue in the APAC geography during the three and nine months ended October 31, 2011 also benefited from a large transaction with revenue recognized of approximately $11.0 million, which was recorded in our Platform Solutions and Emerging Business segment.</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Net revenue in emerging economies increased 15% during the three months ended October 31, 2011 as compared to the same period in the prior fiscal year, primarily due to revenue increases from the Russian Federation, China and India. This growth was a significant factor in our international sales growth during the three months ended October 31, 2011. Revenue from emerging economies represented 16% of total net revenue for both the three months ended October 31, 2011 and 2010. Net revenue in emerging economies increased 17% during the nine months ended October 31, 2011 as compared to the same period in the prior fiscal year, primarily due to revenue from the Russian Federation, India and Mexico. This growth was a significant factor in our international sales growth during the nine months ended October 31, 2011. Revenue from emerging economies represented 16% and 15% of total net revenue during the nine months ended October 31, 2011 and 2010, respectively.</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International net revenue represented 71% and 72% of our total net revenue for the three and nine months ended October 31, 2011, respectively, as compared to 70% and 71% during the respective periods of the prior fiscal year. We believe that international revenue will continue to comprise a majority of our total net revenue. Unfavorable economic conditions in the countries that contribute a significant portion of our net revenue may have an adverse effect on our business in those countries and our overall financial performance. Net revenue from Japan was $65.4 million and $184.3 million for the three and nine months ended October 31, 2011, respectively, or approximately 12% and 11% of our total net revenue, during the three and nine months ended October 31, 2011, respectively. Although we believe the impact of the disasters in Japan in March 2011 on our future financial results will be immaterial, the pace of recovery has created an element of uncertainty on our future financial results. Changes in the value of the U.S. dollar relative to other currencies have significantly affected, and could continue to significantly affect, our financial results for a given period even though we hedge a portion of our current and projected revenue. Additionally, the U.S. debt downgrade and weak global economic conditions that have been characterized by restructuring of sovereign debt, high unemployment, and volatility in the financial markets may impact our future financial results.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Operating Segment</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have four reportable segments: Platform Solutions and Emerging Business (“PSEB”), Architecture, Engineering and Construction (“AEC”), Manufacturing (“MFG”) and Media and Entertainment (“M&amp;E”). We have no material inter-segment revenue.</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Net revenue for PSEB, which includes our Autodesk Design Suite, increased 21% during the three months ended October 31, 2011, as compared to the same period in the prior fiscal year, primarily due to a 17% increase in revenue from our AutoCAD LT products. During the nine months ended October 31, 2011, net revenue for PSEB increased 16% as compared to the same period of the prior fiscal year primarily due to a 13% increase in revenue from our AutoCAD LT products. Net revenue in PSEB during the three and nine months ended October 31, 2011 also benefited from a large transaction in the APAC geography that is mentioned above.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Net revenue for AEC increased 12% during the three months ended October 31, 2011, as compared to the same period in the prior fiscal year, primarily due to a 24% increase in revenue from our Revit family of products, which includes our Autodesk Building Design Suite. During the nine months ended October 31, 2011, net revenue for AEC increased 11% as compared to the same period of the prior fiscal year primarily due to a 19% increase in revenue from our Revit family of products which includes our Autodesk Building Design Suite.</w:t>
      </w:r>
    </w:p>
    <w:p>
      <w:pPr>
        <w:spacing w:after="0" w:line="14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Net revenue for MFG increased 14% during the three months ended October 31, 2011, as compared to the same period in the prior fiscal year, primarily due to a 14% increase in revenue from our Inventor family of products, which includes the Autodesk Product Design Suite. During the nine months ended October 31, 2011, net revenue for MFG increased 16% as compared to the same period of the prior fiscal year primarily due to a 16% increase in revenue from our Inventor family of products, which includes the Autodesk Product Design Suite.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Net revenue for M&amp;E increased 6% during the three months ended October 31, 2011, as compared to the same period in the prior fiscal year, primarily due to a 15% increase in revenue from our Animation product group, which includes our Autodesk Entertainment Creation Suite, offset by a 13% decrease in revenue from Creative Finishing. The increase in Animation revenue was primarily due to a 13% increase in Autodesk Maya related products. During the nine months ended October 31, 2011, net revenue for M&amp;E increased 10% as compared to the same period in the prior fiscal year, primarily due to a 16% increase in revenue from our Animation product group, offset by a 3% decrease in revenue from Creative Finishing. The increase in Animation revenue was primarily due to a 17% increase in revenue from Autodesk Maya related products.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Cost of Revenue and Operating Expenses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w:t>
            </w:r>
          </w:p>
        </w:tc>
        <w:tc>
          <w:tcPr>
            <w:tcW w:w="18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8"/>
              </w:rPr>
              <w:t>Increase compared to</w:t>
            </w: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Nine Months</w:t>
            </w:r>
          </w:p>
        </w:tc>
        <w:tc>
          <w:tcPr>
            <w:tcW w:w="17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2"/>
              </w:rPr>
              <w:t>Increase compared to</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61"/>
        </w:trPr>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4"/>
                <w:szCs w:val="14"/>
                <w:color w:val="auto"/>
              </w:rPr>
            </w:pPr>
          </w:p>
        </w:tc>
        <w:tc>
          <w:tcPr>
            <w:tcW w:w="17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8"/>
              </w:rPr>
              <w:t>prior fiscal year</w:t>
            </w:r>
          </w:p>
        </w:tc>
        <w:tc>
          <w:tcPr>
            <w:tcW w:w="180" w:type="dxa"/>
            <w:vAlign w:val="bottom"/>
          </w:tcPr>
          <w:p>
            <w:pPr>
              <w:spacing w:after="0"/>
              <w:rPr>
                <w:sz w:val="14"/>
                <w:szCs w:val="14"/>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4"/>
                <w:szCs w:val="14"/>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4"/>
                <w:szCs w:val="14"/>
                <w:color w:val="auto"/>
              </w:rPr>
            </w:pPr>
          </w:p>
        </w:tc>
        <w:tc>
          <w:tcPr>
            <w:tcW w:w="15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7"/>
              </w:rPr>
              <w:t>prior fiscal year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2"/>
        </w:trPr>
        <w:tc>
          <w:tcPr>
            <w:tcW w:w="202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2"/>
                <w:szCs w:val="12"/>
                <w:color w:val="auto"/>
              </w:rPr>
            </w:pPr>
          </w:p>
        </w:tc>
        <w:tc>
          <w:tcPr>
            <w:tcW w:w="1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2011</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14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2010</w:t>
            </w:r>
          </w:p>
        </w:tc>
        <w:tc>
          <w:tcPr>
            <w:tcW w:w="1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2011</w:t>
            </w: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2010</w:t>
            </w:r>
          </w:p>
        </w:tc>
        <w:tc>
          <w:tcPr>
            <w:tcW w:w="0" w:type="dxa"/>
            <w:vAlign w:val="bottom"/>
          </w:tcPr>
          <w:p>
            <w:pPr>
              <w:spacing w:after="0"/>
              <w:rPr>
                <w:sz w:val="1"/>
                <w:szCs w:val="1"/>
                <w:color w:val="auto"/>
              </w:rPr>
            </w:pPr>
          </w:p>
        </w:tc>
      </w:tr>
      <w:tr>
        <w:trPr>
          <w:trHeight w:val="196"/>
        </w:trPr>
        <w:tc>
          <w:tcPr>
            <w:tcW w:w="2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50.5</w:t>
            </w:r>
          </w:p>
        </w:tc>
        <w:tc>
          <w:tcPr>
            <w:tcW w:w="40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10.2</w:t>
            </w:r>
          </w:p>
        </w:tc>
        <w:tc>
          <w:tcPr>
            <w:tcW w:w="3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40.3</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138.8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16.8</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14%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59.6</w:t>
            </w:r>
          </w:p>
        </w:tc>
        <w:tc>
          <w:tcPr>
            <w:tcW w:w="40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1</w:t>
            </w:r>
          </w:p>
        </w:tc>
        <w:tc>
          <w:tcPr>
            <w:tcW w:w="96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48.5</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171.6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23.4</w:t>
            </w:r>
          </w:p>
        </w:tc>
        <w:tc>
          <w:tcPr>
            <w:tcW w:w="1200" w:type="dxa"/>
            <w:vAlign w:val="bottom"/>
            <w:gridSpan w:val="3"/>
            <w:vMerge w:val="continue"/>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As a percentage</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net revenue</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Cost of license and other revenue includes labor costs of order fulfillment and costs of fulfilling consulting and training services contracts and collaborative project management services contracts. Cost of license and other revenue also includes stock-based compensation expense, direct material and overhead charges, amortization of purchased technology, professional services fees and royalties. Direct material and overhead charges include the cost of hardware sold (mainly PC-based workstations for Creative Finishing in the M&amp;E segment), costs associated with transferring our software to electronic media, printing of user manuals and packaging materials and shipping and handling costs.</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Cost of license and other revenue increased 25% and 14% during the three and nine months ended October 31, 2011, respectively, as compared to the same periods in the prior fiscal year, primarily due to increased support costs and lower margin consulting engagements.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Cost of maintenance revenue includes labor costs of providing product support to our maintenance customers, including rent and occupancy, shipping and handling costs and professional services fees. Cost of maintenance revenue increased 11% and 25% during the three and nine months ended October 31, 2011, respectively, as compared to the same periods in the prior fiscal year, due to an increase in maintenance support headcount and increased annual fulfillment costs related to supplying USB flash drives of our suites products.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Cost of revenue, at least over the near term, is affected by the volume and mix of product sales, mix of physical versus electronic fulfillment, fluctuations in consulting costs, amortization of purchased technology, new customer support offerings, royalty rates for licensed technology embedded in our products and employee stock-based compensation expense. We expect cost of revenue to increase in absolute dollars, but to remain relatively consistent as a percentage of net revenue during the fourth quarter of fiscal 2012, as compared to the fourth quarter of fiscal 2011.</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Marketing and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4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Three Months</w:t>
            </w:r>
          </w:p>
        </w:tc>
        <w:tc>
          <w:tcPr>
            <w:tcW w:w="19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Increase compared to</w:t>
            </w:r>
          </w:p>
        </w:tc>
        <w:tc>
          <w:tcPr>
            <w:tcW w:w="14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Nine Months</w:t>
            </w:r>
          </w:p>
        </w:tc>
        <w:tc>
          <w:tcPr>
            <w:tcW w:w="17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Increase compared to</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Nine Months</w:t>
            </w:r>
          </w:p>
        </w:tc>
      </w:tr>
      <w:tr>
        <w:trPr>
          <w:trHeight w:val="161"/>
        </w:trPr>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Ended</w:t>
            </w:r>
          </w:p>
        </w:tc>
        <w:tc>
          <w:tcPr>
            <w:tcW w:w="19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8"/>
              </w:rPr>
              <w:t>prior fiscal year</w:t>
            </w:r>
          </w:p>
        </w:tc>
        <w:tc>
          <w:tcPr>
            <w:tcW w:w="200" w:type="dxa"/>
            <w:vAlign w:val="bottom"/>
          </w:tcPr>
          <w:p>
            <w:pPr>
              <w:spacing w:after="0"/>
              <w:rPr>
                <w:sz w:val="14"/>
                <w:szCs w:val="1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Ended</w:t>
            </w:r>
          </w:p>
        </w:tc>
        <w:tc>
          <w:tcPr>
            <w:tcW w:w="17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prior fiscal year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Ended</w:t>
            </w:r>
          </w:p>
        </w:tc>
      </w:tr>
      <w:tr>
        <w:trPr>
          <w:trHeight w:val="142"/>
        </w:trPr>
        <w:tc>
          <w:tcPr>
            <w:tcW w:w="21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October 31, 2011</w:t>
            </w:r>
          </w:p>
        </w:tc>
        <w:tc>
          <w:tcPr>
            <w:tcW w:w="4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October 31, 2010</w:t>
            </w:r>
          </w:p>
        </w:tc>
        <w:tc>
          <w:tcPr>
            <w:tcW w:w="4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October 31, 2011</w:t>
            </w:r>
          </w:p>
        </w:tc>
        <w:tc>
          <w:tcPr>
            <w:tcW w:w="4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October 31, 2010</w:t>
            </w:r>
          </w:p>
        </w:tc>
        <w:tc>
          <w:tcPr>
            <w:tcW w:w="200" w:type="dxa"/>
            <w:vAlign w:val="bottom"/>
            <w:tcBorders>
              <w:bottom w:val="single" w:sz="8" w:color="CCEEFF"/>
            </w:tcBorders>
          </w:tcPr>
          <w:p>
            <w:pPr>
              <w:spacing w:after="0"/>
              <w:rPr>
                <w:sz w:val="12"/>
                <w:szCs w:val="12"/>
                <w:color w:val="auto"/>
              </w:rPr>
            </w:pPr>
          </w:p>
        </w:tc>
      </w:tr>
      <w:tr>
        <w:trPr>
          <w:trHeight w:val="210"/>
        </w:trPr>
        <w:tc>
          <w:tcPr>
            <w:tcW w:w="2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Marketing and sales</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$ 21.1</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$ 60.0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200" w:type="dxa"/>
            <w:vAlign w:val="bottom"/>
            <w:shd w:val="clear" w:color="auto" w:fill="CCEEFF"/>
          </w:tcPr>
          <w:p>
            <w:pPr>
              <w:spacing w:after="0"/>
              <w:rPr>
                <w:sz w:val="18"/>
                <w:szCs w:val="18"/>
                <w:color w:val="auto"/>
              </w:rPr>
            </w:pPr>
          </w:p>
        </w:tc>
      </w:tr>
      <w:tr>
        <w:trPr>
          <w:trHeight w:val="208"/>
        </w:trPr>
        <w:tc>
          <w:tcPr>
            <w:tcW w:w="2100" w:type="dxa"/>
            <w:vAlign w:val="bottom"/>
          </w:tcPr>
          <w:p>
            <w:pPr>
              <w:spacing w:after="0"/>
              <w:rPr>
                <w:sz w:val="20"/>
                <w:szCs w:val="20"/>
                <w:color w:val="auto"/>
              </w:rPr>
            </w:pPr>
            <w:r>
              <w:rPr>
                <w:rFonts w:ascii="Arial" w:cs="Arial" w:eastAsia="Arial" w:hAnsi="Arial"/>
                <w:sz w:val="18"/>
                <w:szCs w:val="18"/>
                <w:color w:val="auto"/>
              </w:rPr>
              <w:t>As a percentage</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2100" w:type="dxa"/>
            <w:vAlign w:val="bottom"/>
          </w:tcPr>
          <w:p>
            <w:pPr>
              <w:ind w:left="220"/>
              <w:spacing w:after="0"/>
              <w:rPr>
                <w:sz w:val="20"/>
                <w:szCs w:val="20"/>
                <w:color w:val="auto"/>
              </w:rPr>
            </w:pPr>
            <w:r>
              <w:rPr>
                <w:rFonts w:ascii="Arial" w:cs="Arial" w:eastAsia="Arial" w:hAnsi="Arial"/>
                <w:sz w:val="18"/>
                <w:szCs w:val="18"/>
                <w:color w:val="auto"/>
              </w:rPr>
              <w:t>of net revenue</w:t>
            </w:r>
          </w:p>
        </w:tc>
        <w:tc>
          <w:tcPr>
            <w:tcW w:w="2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bl>
    <w:p>
      <w:pPr>
        <w:spacing w:after="0" w:line="15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Marketing and sales expenses include salaries, bonuses, benefits and stock-based compensation expense for our marketing and sales employees, and the expense of travel, entertainment and training for such personnel, and the costs of programs aimed at increasing revenue, such as advertising, trade shows and expositions, and various sales and promotional programs. Marketing and sales expenses also include labor costs of sales and order processing, sales and dealer commissions, rent and occupancy, and the cost of supplies and equipment. Marketing and sales expenses increased 11% for both the three and nine months ended October 31, 2011, as compared to the same periods in the prior fiscal year, primarily due to higher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employee-related costs related to salaries and fringe benefits primarily associated with increased head count and the reinstatement of merit increases in fiscal 2012. We expect marketing and sales expense to slightly increase in absolute dollars, but to decrease as a percentage of net revenue during the fourth quarter of fiscal 2012, as compared to the fourth quarter of fiscal 2011.</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Three Months</w:t>
            </w: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rPr>
              <w:t>Increase compared</w:t>
            </w:r>
          </w:p>
        </w:tc>
        <w:tc>
          <w:tcPr>
            <w:tcW w:w="14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Three Months</w:t>
            </w:r>
          </w:p>
        </w:tc>
        <w:tc>
          <w:tcPr>
            <w:tcW w:w="10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Nine Months</w:t>
            </w:r>
          </w:p>
        </w:tc>
        <w:tc>
          <w:tcPr>
            <w:tcW w:w="17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Increase compared to</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Nine Months</w:t>
            </w:r>
          </w:p>
        </w:tc>
      </w:tr>
      <w:tr>
        <w:trPr>
          <w:trHeight w:val="161"/>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Ended</w:t>
            </w:r>
          </w:p>
        </w:tc>
        <w:tc>
          <w:tcPr>
            <w:tcW w:w="1700" w:type="dxa"/>
            <w:vAlign w:val="bottom"/>
            <w:gridSpan w:val="4"/>
          </w:tcPr>
          <w:p>
            <w:pPr>
              <w:ind w:left="100"/>
              <w:spacing w:after="0"/>
              <w:rPr>
                <w:sz w:val="20"/>
                <w:szCs w:val="20"/>
                <w:color w:val="auto"/>
              </w:rPr>
            </w:pPr>
            <w:r>
              <w:rPr>
                <w:rFonts w:ascii="Arial" w:cs="Arial" w:eastAsia="Arial" w:hAnsi="Arial"/>
                <w:sz w:val="14"/>
                <w:szCs w:val="14"/>
                <w:b w:val="1"/>
                <w:bCs w:val="1"/>
                <w:color w:val="auto"/>
              </w:rPr>
              <w:t>to prior fiscal year</w:t>
            </w:r>
          </w:p>
        </w:tc>
        <w:tc>
          <w:tcPr>
            <w:tcW w:w="200" w:type="dxa"/>
            <w:vAlign w:val="bottom"/>
          </w:tcPr>
          <w:p>
            <w:pPr>
              <w:spacing w:after="0"/>
              <w:rPr>
                <w:sz w:val="14"/>
                <w:szCs w:val="14"/>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Ended</w:t>
            </w:r>
          </w:p>
        </w:tc>
        <w:tc>
          <w:tcPr>
            <w:tcW w:w="17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prior fiscal year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Ended</w:t>
            </w:r>
          </w:p>
        </w:tc>
      </w:tr>
      <w:tr>
        <w:trPr>
          <w:trHeight w:val="142"/>
        </w:trPr>
        <w:tc>
          <w:tcPr>
            <w:tcW w:w="24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October 31, 2011</w:t>
            </w:r>
          </w:p>
        </w:tc>
        <w:tc>
          <w:tcPr>
            <w:tcW w:w="44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October 31, 2010</w:t>
            </w:r>
          </w:p>
        </w:tc>
        <w:tc>
          <w:tcPr>
            <w:tcW w:w="4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October 31, 2011</w:t>
            </w:r>
          </w:p>
        </w:tc>
        <w:tc>
          <w:tcPr>
            <w:tcW w:w="4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7"/>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October 31, 2010</w:t>
            </w:r>
          </w:p>
        </w:tc>
        <w:tc>
          <w:tcPr>
            <w:tcW w:w="200" w:type="dxa"/>
            <w:vAlign w:val="bottom"/>
            <w:tcBorders>
              <w:bottom w:val="single" w:sz="8" w:color="CCEEFF"/>
            </w:tcBorders>
          </w:tcPr>
          <w:p>
            <w:pPr>
              <w:spacing w:after="0"/>
              <w:rPr>
                <w:sz w:val="12"/>
                <w:szCs w:val="12"/>
                <w:color w:val="auto"/>
              </w:rPr>
            </w:pPr>
          </w:p>
        </w:tc>
      </w:tr>
      <w:tr>
        <w:trPr>
          <w:trHeight w:val="210"/>
        </w:trPr>
        <w:tc>
          <w:tcPr>
            <w:tcW w:w="2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18.4</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47.7</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200" w:type="dxa"/>
            <w:vAlign w:val="bottom"/>
            <w:shd w:val="clear" w:color="auto" w:fill="CCEEFF"/>
          </w:tcPr>
          <w:p>
            <w:pPr>
              <w:spacing w:after="0"/>
              <w:rPr>
                <w:sz w:val="18"/>
                <w:szCs w:val="18"/>
                <w:color w:val="auto"/>
              </w:rPr>
            </w:pPr>
          </w:p>
        </w:tc>
      </w:tr>
      <w:tr>
        <w:trPr>
          <w:trHeight w:val="208"/>
        </w:trPr>
        <w:tc>
          <w:tcPr>
            <w:tcW w:w="2420" w:type="dxa"/>
            <w:vAlign w:val="bottom"/>
          </w:tcPr>
          <w:p>
            <w:pPr>
              <w:spacing w:after="0"/>
              <w:rPr>
                <w:sz w:val="20"/>
                <w:szCs w:val="20"/>
                <w:color w:val="auto"/>
              </w:rPr>
            </w:pPr>
            <w:r>
              <w:rPr>
                <w:rFonts w:ascii="Arial" w:cs="Arial" w:eastAsia="Arial" w:hAnsi="Arial"/>
                <w:sz w:val="18"/>
                <w:szCs w:val="18"/>
                <w:color w:val="auto"/>
              </w:rPr>
              <w:t>As a percentage</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2420" w:type="dxa"/>
            <w:vAlign w:val="bottom"/>
          </w:tcPr>
          <w:p>
            <w:pPr>
              <w:ind w:left="220"/>
              <w:spacing w:after="0"/>
              <w:rPr>
                <w:sz w:val="20"/>
                <w:szCs w:val="20"/>
                <w:color w:val="auto"/>
              </w:rPr>
            </w:pPr>
            <w:r>
              <w:rPr>
                <w:rFonts w:ascii="Arial" w:cs="Arial" w:eastAsia="Arial" w:hAnsi="Arial"/>
                <w:sz w:val="18"/>
                <w:szCs w:val="18"/>
                <w:color w:val="auto"/>
              </w:rPr>
              <w:t>of net revenue</w:t>
            </w:r>
          </w:p>
        </w:tc>
        <w:tc>
          <w:tcPr>
            <w:tcW w:w="2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bl>
    <w:p>
      <w:pPr>
        <w:spacing w:after="0" w:line="15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professional services such as fees paid to software development firms and independent contractors. Research and development expenses increased 15% and 13% during the three and nine months ended October 31, 2011, respectively, as compared to the same periods in the prior fiscal year, primarily due to an increase in salaries and fringe benefits primarily associated with increased head count and the reinstatement of merit increases in fiscal 2012. We expect research and development expense to increase in absolute dollars and increase as a percentage of net revenue during the fourth quarter of fiscal 2012, as compared to the fourth quarter of fiscal 2011.</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Three Months</w:t>
            </w:r>
          </w:p>
        </w:tc>
        <w:tc>
          <w:tcPr>
            <w:tcW w:w="140" w:type="dxa"/>
            <w:vAlign w:val="bottom"/>
          </w:tcPr>
          <w:p>
            <w:pPr>
              <w:spacing w:after="0"/>
              <w:rPr>
                <w:sz w:val="14"/>
                <w:szCs w:val="14"/>
                <w:color w:val="auto"/>
              </w:rPr>
            </w:pPr>
          </w:p>
        </w:tc>
        <w:tc>
          <w:tcPr>
            <w:tcW w:w="18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89"/>
              </w:rPr>
              <w:t>Increase compared to</w:t>
            </w:r>
          </w:p>
        </w:tc>
        <w:tc>
          <w:tcPr>
            <w:tcW w:w="14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Three Months</w:t>
            </w:r>
          </w:p>
        </w:tc>
        <w:tc>
          <w:tcPr>
            <w:tcW w:w="80" w:type="dxa"/>
            <w:vAlign w:val="bottom"/>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Nine Months</w:t>
            </w:r>
          </w:p>
        </w:tc>
        <w:tc>
          <w:tcPr>
            <w:tcW w:w="17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Increase compared to</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61"/>
        </w:trPr>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4"/>
              </w:rPr>
              <w:t>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w w:val="78"/>
              </w:rPr>
              <w:t>prior fiscal year</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center"/>
              <w:ind w:left="52"/>
              <w:spacing w:after="0"/>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Ended</w:t>
            </w:r>
          </w:p>
        </w:tc>
        <w:tc>
          <w:tcPr>
            <w:tcW w:w="17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prior fiscal year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2"/>
        </w:trPr>
        <w:tc>
          <w:tcPr>
            <w:tcW w:w="242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124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85"/>
              </w:rPr>
              <w:t>October 31, 2011</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October 31,</w:t>
            </w: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420" w:type="dxa"/>
            <w:vAlign w:val="bottom"/>
          </w:tcPr>
          <w:p>
            <w:pPr>
              <w:spacing w:after="0"/>
              <w:rPr>
                <w:sz w:val="12"/>
                <w:szCs w:val="12"/>
                <w:color w:val="auto"/>
              </w:rPr>
            </w:pPr>
          </w:p>
        </w:tc>
        <w:tc>
          <w:tcPr>
            <w:tcW w:w="1380" w:type="dxa"/>
            <w:vAlign w:val="bottom"/>
            <w:gridSpan w:val="3"/>
          </w:tcPr>
          <w:p>
            <w:pPr>
              <w:jc w:val="center"/>
              <w:ind w:right="420"/>
              <w:spacing w:after="0" w:line="142" w:lineRule="exact"/>
              <w:rPr>
                <w:sz w:val="20"/>
                <w:szCs w:val="20"/>
                <w:color w:val="auto"/>
              </w:rPr>
            </w:pPr>
            <w:r>
              <w:rPr>
                <w:rFonts w:ascii="Arial" w:cs="Arial" w:eastAsia="Arial" w:hAnsi="Arial"/>
                <w:sz w:val="14"/>
                <w:szCs w:val="14"/>
                <w:b w:val="1"/>
                <w:bCs w:val="1"/>
                <w:color w:val="auto"/>
                <w:w w:val="85"/>
              </w:rPr>
              <w:t>October 31, 2011</w:t>
            </w:r>
          </w:p>
        </w:tc>
        <w:tc>
          <w:tcPr>
            <w:tcW w:w="620" w:type="dxa"/>
            <w:vAlign w:val="bottom"/>
            <w:tcBorders>
              <w:top w:val="single" w:sz="8" w:color="auto"/>
            </w:tcBorders>
          </w:tcPr>
          <w:p>
            <w:pPr>
              <w:jc w:val="right"/>
              <w:ind w:right="187"/>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7"/>
              </w:rPr>
              <w:t>October 31, 2010</w:t>
            </w:r>
          </w:p>
        </w:tc>
        <w:tc>
          <w:tcPr>
            <w:tcW w:w="0" w:type="dxa"/>
            <w:vAlign w:val="bottom"/>
          </w:tcPr>
          <w:p>
            <w:pPr>
              <w:spacing w:after="0"/>
              <w:rPr>
                <w:sz w:val="1"/>
                <w:szCs w:val="1"/>
                <w:color w:val="auto"/>
              </w:rPr>
            </w:pPr>
          </w:p>
        </w:tc>
      </w:tr>
      <w:tr>
        <w:trPr>
          <w:trHeight w:val="20"/>
        </w:trPr>
        <w:tc>
          <w:tcPr>
            <w:tcW w:w="2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80" w:type="dxa"/>
            <w:vAlign w:val="bottom"/>
            <w:vMerge w:val="continue"/>
            <w:shd w:val="clear" w:color="auto" w:fill="CCEEFF"/>
          </w:tcPr>
          <w:p>
            <w:pPr>
              <w:spacing w:after="0"/>
              <w:rPr>
                <w:sz w:val="18"/>
                <w:szCs w:val="18"/>
                <w:color w:val="auto"/>
              </w:rPr>
            </w:pPr>
          </w:p>
        </w:tc>
        <w:tc>
          <w:tcPr>
            <w:tcW w:w="720" w:type="dxa"/>
            <w:vAlign w:val="bottom"/>
            <w:tcBorders>
              <w:lef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51.1</w:t>
            </w:r>
          </w:p>
        </w:tc>
        <w:tc>
          <w:tcPr>
            <w:tcW w:w="4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42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14.3</w:t>
            </w:r>
          </w:p>
        </w:tc>
        <w:tc>
          <w:tcPr>
            <w:tcW w:w="420" w:type="dxa"/>
            <w:vAlign w:val="bottom"/>
            <w:vMerge w:val="continue"/>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tcPr>
          <w:p>
            <w:pPr>
              <w:spacing w:after="0"/>
              <w:rPr>
                <w:sz w:val="20"/>
                <w:szCs w:val="20"/>
                <w:color w:val="auto"/>
              </w:rPr>
            </w:pPr>
            <w:r>
              <w:rPr>
                <w:rFonts w:ascii="Arial" w:cs="Arial" w:eastAsia="Arial" w:hAnsi="Arial"/>
                <w:sz w:val="18"/>
                <w:szCs w:val="18"/>
                <w:color w:val="auto"/>
                <w:w w:val="95"/>
              </w:rPr>
              <w:t>As a percentage of net revenue</w:t>
            </w:r>
          </w:p>
        </w:tc>
        <w:tc>
          <w:tcPr>
            <w:tcW w:w="1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General and administrative expenses include salaries, bonuses, benefits and stock-based compensation expense for our finance, human resources and legal employees, as well as professional fees for legal and accounting services, amortization of acquisition related customer relationships and trade names, expense of travel, entertainment and training, expense of communication and the cost of supplies and equipment. General and administrative expenses increased 1% and 10% during the three and nine months ended October 31, 2011, respectively, as compared to the same periods in the prior fiscal year, primarily due to an increase in amortization of acquisition related customer relationships and trade names and an increase in salaries and fringe benefits primarily associated with increased head count and the reinstatement of merit increases in fiscal 2012. We expect general and administrative expenses to increase in absolute dollars, but to remain relatively consistent as a percentage of net revenue during the fourth quarter of fiscal 2012, as compared to the fourth quarter of fiscal 2011.</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Restructuring Charges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3"/>
          </w:tcPr>
          <w:p>
            <w:pPr>
              <w:jc w:val="center"/>
              <w:ind w:left="89"/>
              <w:spacing w:after="0"/>
              <w:rPr>
                <w:sz w:val="20"/>
                <w:szCs w:val="20"/>
                <w:color w:val="auto"/>
              </w:rPr>
            </w:pPr>
            <w:r>
              <w:rPr>
                <w:rFonts w:ascii="Arial" w:cs="Arial" w:eastAsia="Arial" w:hAnsi="Arial"/>
                <w:sz w:val="14"/>
                <w:szCs w:val="14"/>
                <w:b w:val="1"/>
                <w:bCs w:val="1"/>
                <w:color w:val="auto"/>
                <w:w w:val="83"/>
              </w:rPr>
              <w:t>Decrease</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center"/>
              <w:ind w:left="268"/>
              <w:spacing w:after="0"/>
              <w:rPr>
                <w:sz w:val="20"/>
                <w:szCs w:val="20"/>
                <w:color w:val="auto"/>
              </w:rPr>
            </w:pPr>
            <w:r>
              <w:rPr>
                <w:rFonts w:ascii="Arial" w:cs="Arial" w:eastAsia="Arial" w:hAnsi="Arial"/>
                <w:sz w:val="14"/>
                <w:szCs w:val="14"/>
                <w:b w:val="1"/>
                <w:bCs w:val="1"/>
                <w:color w:val="auto"/>
                <w:w w:val="83"/>
              </w:rPr>
              <w:t>Decrease</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2660" w:type="dxa"/>
            <w:vAlign w:val="bottom"/>
          </w:tcPr>
          <w:p>
            <w:pPr>
              <w:spacing w:after="0"/>
              <w:rPr>
                <w:sz w:val="12"/>
                <w:szCs w:val="12"/>
                <w:color w:val="auto"/>
              </w:rPr>
            </w:pPr>
          </w:p>
        </w:tc>
        <w:tc>
          <w:tcPr>
            <w:tcW w:w="14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800" w:type="dxa"/>
            <w:vAlign w:val="bottom"/>
            <w:gridSpan w:val="3"/>
          </w:tcPr>
          <w:p>
            <w:pPr>
              <w:jc w:val="center"/>
              <w:ind w:left="89"/>
              <w:spacing w:after="0" w:line="149" w:lineRule="exact"/>
              <w:rPr>
                <w:sz w:val="20"/>
                <w:szCs w:val="20"/>
                <w:color w:val="auto"/>
              </w:rPr>
            </w:pPr>
            <w:r>
              <w:rPr>
                <w:rFonts w:ascii="Arial" w:cs="Arial" w:eastAsia="Arial" w:hAnsi="Arial"/>
                <w:sz w:val="14"/>
                <w:szCs w:val="14"/>
                <w:b w:val="1"/>
                <w:bCs w:val="1"/>
                <w:color w:val="auto"/>
                <w:w w:val="89"/>
              </w:rPr>
              <w:t>prior fiscal</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Nine Months</w:t>
            </w:r>
          </w:p>
        </w:tc>
        <w:tc>
          <w:tcPr>
            <w:tcW w:w="160" w:type="dxa"/>
            <w:vAlign w:val="bottom"/>
          </w:tcPr>
          <w:p>
            <w:pPr>
              <w:spacing w:after="0"/>
              <w:rPr>
                <w:sz w:val="12"/>
                <w:szCs w:val="12"/>
                <w:color w:val="auto"/>
              </w:rPr>
            </w:pPr>
          </w:p>
        </w:tc>
        <w:tc>
          <w:tcPr>
            <w:tcW w:w="15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prior fiscal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Nine Months</w:t>
            </w:r>
          </w:p>
        </w:tc>
      </w:tr>
      <w:tr>
        <w:trPr>
          <w:trHeight w:val="161"/>
        </w:trPr>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Ended</w:t>
            </w:r>
          </w:p>
        </w:tc>
        <w:tc>
          <w:tcPr>
            <w:tcW w:w="800" w:type="dxa"/>
            <w:vAlign w:val="bottom"/>
            <w:tcBorders>
              <w:bottom w:val="single" w:sz="8" w:color="auto"/>
            </w:tcBorders>
            <w:gridSpan w:val="3"/>
          </w:tcPr>
          <w:p>
            <w:pPr>
              <w:jc w:val="center"/>
              <w:ind w:left="109"/>
              <w:spacing w:after="0"/>
              <w:rPr>
                <w:sz w:val="20"/>
                <w:szCs w:val="20"/>
                <w:color w:val="auto"/>
              </w:rPr>
            </w:pPr>
            <w:r>
              <w:rPr>
                <w:rFonts w:ascii="Arial" w:cs="Arial" w:eastAsia="Arial" w:hAnsi="Arial"/>
                <w:sz w:val="14"/>
                <w:szCs w:val="14"/>
                <w:b w:val="1"/>
                <w:bCs w:val="1"/>
                <w:color w:val="auto"/>
                <w:w w:val="90"/>
              </w:rPr>
              <w:t>year</w:t>
            </w:r>
          </w:p>
        </w:tc>
        <w:tc>
          <w:tcPr>
            <w:tcW w:w="1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year</w:t>
            </w:r>
          </w:p>
        </w:tc>
        <w:tc>
          <w:tcPr>
            <w:tcW w:w="3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Ended</w:t>
            </w:r>
          </w:p>
        </w:tc>
      </w:tr>
      <w:tr>
        <w:trPr>
          <w:trHeight w:val="142"/>
        </w:trPr>
        <w:tc>
          <w:tcPr>
            <w:tcW w:w="26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October 31, 2011</w:t>
            </w:r>
          </w:p>
        </w:tc>
        <w:tc>
          <w:tcPr>
            <w:tcW w:w="4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ind w:right="69"/>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5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October 31, 2010</w:t>
            </w:r>
          </w:p>
        </w:tc>
        <w:tc>
          <w:tcPr>
            <w:tcW w:w="4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October 31, 2011</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October 31, 2010</w:t>
            </w:r>
          </w:p>
        </w:tc>
        <w:tc>
          <w:tcPr>
            <w:tcW w:w="200" w:type="dxa"/>
            <w:vAlign w:val="bottom"/>
            <w:tcBorders>
              <w:bottom w:val="single" w:sz="8" w:color="CCEEFF"/>
            </w:tcBorders>
          </w:tcPr>
          <w:p>
            <w:pPr>
              <w:spacing w:after="0"/>
              <w:rPr>
                <w:sz w:val="12"/>
                <w:szCs w:val="12"/>
                <w:color w:val="auto"/>
              </w:rPr>
            </w:pPr>
          </w:p>
        </w:tc>
      </w:tr>
      <w:tr>
        <w:trPr>
          <w:trHeight w:val="210"/>
        </w:trPr>
        <w:tc>
          <w:tcPr>
            <w:tcW w:w="2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w:t>
            </w: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w w:val="84"/>
              </w:rPr>
              <w:t>$ —</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 (10.3)</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2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connection with our restructuring plans, we recorded a favorable adjustment for changes in previous estimates during the nine months ended October 31,</w:t>
      </w:r>
    </w:p>
    <w:p>
      <w:pPr>
        <w:spacing w:after="0" w:line="50"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2011. During the three and nine months ended October 31, 2010, we reduced the number of employees by approximately 20 and 190 positions globally, respectively, and recorded restructuring charges of zero and $9.0 million, respectively, which related to one-time employee termination benefits. See Note 14, “Restructuring Reserve,” in the Notes to the Condensed Consolidated Financial Statements for further discussion.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components of interest and other income (expense),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782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4"/>
          </w:tcPr>
          <w:p>
            <w:pPr>
              <w:jc w:val="right"/>
              <w:spacing w:after="0"/>
              <w:rPr>
                <w:sz w:val="20"/>
                <w:szCs w:val="20"/>
                <w:color w:val="auto"/>
              </w:rPr>
            </w:pPr>
            <w:r>
              <w:rPr>
                <w:rFonts w:ascii="Arial" w:cs="Arial" w:eastAsia="Arial" w:hAnsi="Arial"/>
                <w:sz w:val="14"/>
                <w:szCs w:val="14"/>
                <w:b w:val="1"/>
                <w:bCs w:val="1"/>
                <w:color w:val="auto"/>
              </w:rPr>
              <w:t>October 31,</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5"/>
              </w:rPr>
              <w:t>October 31,</w:t>
            </w:r>
          </w:p>
        </w:tc>
        <w:tc>
          <w:tcPr>
            <w:tcW w:w="0" w:type="dxa"/>
            <w:vAlign w:val="bottom"/>
          </w:tcPr>
          <w:p>
            <w:pPr>
              <w:spacing w:after="0"/>
              <w:rPr>
                <w:sz w:val="1"/>
                <w:szCs w:val="1"/>
                <w:color w:val="auto"/>
              </w:rPr>
            </w:pPr>
          </w:p>
        </w:tc>
      </w:tr>
      <w:tr>
        <w:trPr>
          <w:trHeight w:val="142"/>
        </w:trPr>
        <w:tc>
          <w:tcPr>
            <w:tcW w:w="782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76"/>
              </w:rPr>
              <w:t>2011</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2010</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5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investment income,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3.6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Gain/(loss) on foreign currency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w w:val="79"/>
              </w:rPr>
              <w:t>0.2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Interest and other income (expense), net</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w w:val="79"/>
              </w:rPr>
              <w:t>6.2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Interest and other income (expense), net, decreased $1.4 million during the three months ended October 31, 2011, as compared to the same period in the prior fiscal year, primarily due to the decrease of $2.6 million in interest and investment income, partially offset by gains on foreign currency. The $0.3 million gain and $1.1 million loss on foreign currency in the three months ended October 31, 2011 and 2010, respectively, is primarily due to the impact of re-measuring foreign currency transactions into the functional currency of the corresponding entity. Interest and other income (expense), net, increased $7.0 million during the nine months ended October 31, 2011, as compared to the same period in the prior fiscal year, primarily due to gains on foreign currency. The $0.2 million gain and the $11.2 million loss on foreign currency in the nine months ended October 31, 2011 and 2010, respectively, is primarily due to the impact of re-measuring foreign currency transactions into the functional currency of the corresponding entity. The amount of the gain (loss) on foreign currency is driven by the volume of foreign currency transactions and the foreign currency exchange rates for the period.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basis of assets and liabilities, using enacted rates expected to be in effect during the year in which the basis differences reverse.</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effective tax rate was 20% and 21% during the three and nine months ended October 31, 2011, respectively, compared to 25% and 24% during the three and nine months ended October 31, 2010, respectively. Our effective tax rate decreased during the three months ended October 31, 2011 as compared to the same period in the prior fiscal year primarily due to an increase in discrete tax benefits associated with changes in estimates related to Autodesk’s tax return filings in fiscal 2012 and tax detriment from a California tax rate change and related valuation allowance recorded in fiscal 2011 as well as an increase in tax benefits in fiscal 2012 from foreign earnings taxed at lower rates. Excluding the impact of discrete tax items primarily associated with changes in estimates related to tax return filings and stock-based compensation benefits of $3.3 million and $7.8 million in the three and nine months ended October 31, 2011, respectively, the effective tax rate for both the three and nine months ended October 31, 2011 was 24%, and was lower than the Federal statutory tax rate of 35% primarily due to foreign income taxed at lower rates and research and development credits partially offset by the impact of non-deductible stock-based compensation expense.</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Asia Pacific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October 31, 2011, we had net deferred tax assets of $172.9 million. We believe that we will generate sufficient future taxable income in appropriate tax jurisdictions to realize these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three and nine months ended October 31, 2011, and 2010, our gross profit, gross margin, income from operations, operating margin, net income and diluted earnings per share on a GAAP and non-GAAP basis were as follows (in millions except for gross margin, operating margin and per share data):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w w:val="97"/>
              </w:rPr>
              <w:t>Nine Months Ended</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17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October 31, 2011</w:t>
            </w:r>
          </w:p>
        </w:tc>
        <w:tc>
          <w:tcPr>
            <w:tcW w:w="102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85"/>
              </w:rPr>
              <w:t>October 31, 2010</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October 31, 2011</w:t>
            </w:r>
          </w:p>
        </w:tc>
        <w:tc>
          <w:tcPr>
            <w:tcW w:w="102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85"/>
              </w:rPr>
              <w:t>October 31, 2010</w:t>
            </w:r>
          </w:p>
        </w:tc>
        <w:tc>
          <w:tcPr>
            <w:tcW w:w="20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489.0</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428.2</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1,451.6</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1,275.9</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Non-GAAP gross profit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695"/>
              <w:spacing w:after="0"/>
              <w:rPr>
                <w:sz w:val="20"/>
                <w:szCs w:val="20"/>
                <w:color w:val="auto"/>
              </w:rPr>
            </w:pPr>
            <w:r>
              <w:rPr>
                <w:rFonts w:ascii="Arial" w:cs="Arial" w:eastAsia="Arial" w:hAnsi="Arial"/>
                <w:sz w:val="18"/>
                <w:szCs w:val="18"/>
                <w:color w:val="auto"/>
              </w:rPr>
              <w:t>501.0</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437.2</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695"/>
              <w:spacing w:after="0"/>
              <w:rPr>
                <w:sz w:val="20"/>
                <w:szCs w:val="20"/>
                <w:color w:val="auto"/>
              </w:rPr>
            </w:pPr>
            <w:r>
              <w:rPr>
                <w:rFonts w:ascii="Arial" w:cs="Arial" w:eastAsia="Arial" w:hAnsi="Arial"/>
                <w:sz w:val="18"/>
                <w:szCs w:val="18"/>
                <w:color w:val="auto"/>
              </w:rPr>
              <w:t>1,482.1</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1,301.8</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89%</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Non-GAAP gross margin</w:t>
            </w:r>
          </w:p>
        </w:tc>
        <w:tc>
          <w:tcPr>
            <w:tcW w:w="320" w:type="dxa"/>
            <w:vAlign w:val="bottom"/>
          </w:tcPr>
          <w:p>
            <w:pPr>
              <w:spacing w:after="0"/>
              <w:rPr>
                <w:sz w:val="18"/>
                <w:szCs w:val="18"/>
                <w:color w:val="auto"/>
              </w:rPr>
            </w:pPr>
          </w:p>
        </w:tc>
        <w:tc>
          <w:tcPr>
            <w:tcW w:w="1420" w:type="dxa"/>
            <w:vAlign w:val="bottom"/>
          </w:tcPr>
          <w:p>
            <w:pPr>
              <w:jc w:val="right"/>
              <w:ind w:right="535"/>
              <w:spacing w:after="0"/>
              <w:rPr>
                <w:sz w:val="20"/>
                <w:szCs w:val="20"/>
                <w:color w:val="auto"/>
              </w:rPr>
            </w:pPr>
            <w:r>
              <w:rPr>
                <w:rFonts w:ascii="Arial" w:cs="Arial" w:eastAsia="Arial" w:hAnsi="Arial"/>
                <w:sz w:val="18"/>
                <w:szCs w:val="18"/>
                <w:color w:val="auto"/>
              </w:rPr>
              <w:t>91%</w:t>
            </w:r>
          </w:p>
        </w:tc>
        <w:tc>
          <w:tcPr>
            <w:tcW w:w="4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90.2</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69.2</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263.8</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Non-GAAP income from operations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695"/>
              <w:spacing w:after="0"/>
              <w:rPr>
                <w:sz w:val="20"/>
                <w:szCs w:val="20"/>
                <w:color w:val="auto"/>
              </w:rPr>
            </w:pPr>
            <w:r>
              <w:rPr>
                <w:rFonts w:ascii="Arial" w:cs="Arial" w:eastAsia="Arial" w:hAnsi="Arial"/>
                <w:sz w:val="18"/>
                <w:szCs w:val="18"/>
                <w:color w:val="auto"/>
              </w:rPr>
              <w:t>135.1</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100.3</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695"/>
              <w:spacing w:after="0"/>
              <w:rPr>
                <w:sz w:val="20"/>
                <w:szCs w:val="20"/>
                <w:color w:val="auto"/>
              </w:rPr>
            </w:pPr>
            <w:r>
              <w:rPr>
                <w:rFonts w:ascii="Arial" w:cs="Arial" w:eastAsia="Arial" w:hAnsi="Arial"/>
                <w:sz w:val="18"/>
                <w:szCs w:val="18"/>
                <w:color w:val="auto"/>
              </w:rPr>
              <w:t>393.0</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312.7</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Non-GAAP operating margin</w:t>
            </w:r>
          </w:p>
        </w:tc>
        <w:tc>
          <w:tcPr>
            <w:tcW w:w="320" w:type="dxa"/>
            <w:vAlign w:val="bottom"/>
          </w:tcPr>
          <w:p>
            <w:pPr>
              <w:spacing w:after="0"/>
              <w:rPr>
                <w:sz w:val="18"/>
                <w:szCs w:val="18"/>
                <w:color w:val="auto"/>
              </w:rPr>
            </w:pPr>
          </w:p>
        </w:tc>
        <w:tc>
          <w:tcPr>
            <w:tcW w:w="1420" w:type="dxa"/>
            <w:vAlign w:val="bottom"/>
          </w:tcPr>
          <w:p>
            <w:pPr>
              <w:jc w:val="right"/>
              <w:ind w:right="535"/>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72.8</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53.6</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213.3</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Non-GAAP net income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695"/>
              <w:spacing w:after="0"/>
              <w:rPr>
                <w:sz w:val="20"/>
                <w:szCs w:val="20"/>
                <w:color w:val="auto"/>
              </w:rPr>
            </w:pPr>
            <w:r>
              <w:rPr>
                <w:rFonts w:ascii="Arial" w:cs="Arial" w:eastAsia="Arial" w:hAnsi="Arial"/>
                <w:sz w:val="18"/>
                <w:szCs w:val="18"/>
                <w:color w:val="auto"/>
              </w:rPr>
              <w:t>102.1</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75.0</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695"/>
              <w:spacing w:after="0"/>
              <w:rPr>
                <w:sz w:val="20"/>
                <w:szCs w:val="20"/>
                <w:color w:val="auto"/>
              </w:rPr>
            </w:pPr>
            <w:r>
              <w:rPr>
                <w:rFonts w:ascii="Arial" w:cs="Arial" w:eastAsia="Arial" w:hAnsi="Arial"/>
                <w:sz w:val="18"/>
                <w:szCs w:val="18"/>
                <w:color w:val="auto"/>
              </w:rPr>
              <w:t>299.3</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227.7</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0.32</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0.23</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0.91</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0.64</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Non-GAAP diluted earnings per share (1)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695"/>
              <w:spacing w:after="0"/>
              <w:rPr>
                <w:sz w:val="20"/>
                <w:szCs w:val="20"/>
                <w:color w:val="auto"/>
              </w:rPr>
            </w:pPr>
            <w:r>
              <w:rPr>
                <w:rFonts w:ascii="Arial" w:cs="Arial" w:eastAsia="Arial" w:hAnsi="Arial"/>
                <w:sz w:val="18"/>
                <w:szCs w:val="18"/>
                <w:color w:val="auto"/>
              </w:rPr>
              <w:t>0.44</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0.32</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695"/>
              <w:spacing w:after="0"/>
              <w:rPr>
                <w:sz w:val="20"/>
                <w:szCs w:val="20"/>
                <w:color w:val="auto"/>
              </w:rPr>
            </w:pPr>
            <w:r>
              <w:rPr>
                <w:rFonts w:ascii="Arial" w:cs="Arial" w:eastAsia="Arial" w:hAnsi="Arial"/>
                <w:sz w:val="18"/>
                <w:szCs w:val="18"/>
                <w:color w:val="auto"/>
              </w:rPr>
              <w:t>1.28</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20" w:hanging="452"/>
        <w:spacing w:after="0" w:line="228" w:lineRule="auto"/>
        <w:tabs>
          <w:tab w:leader="none" w:pos="46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color w:val="auto"/>
        </w:rPr>
        <w:t>Earnings per share were computed independently for each of the periods presented; therefore the sum of the earnings per share amounts for the quarters may not equal the total for the year.</w:t>
      </w:r>
    </w:p>
    <w:p>
      <w:pPr>
        <w:spacing w:after="0" w:line="15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For our internal budgeting and resource allocation process, we use non-GAAP measures to supplement our condensed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In addition, these non-GAAP financial measures facilitate comparisons to our and our competitors’ historical results and operating guidance. We also use these measures for purposes of determining company-wide incentive compensation.</w:t>
      </w:r>
    </w:p>
    <w:p>
      <w:pPr>
        <w:spacing w:after="0" w:line="11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not meant to be considered in isolation or as a substitute for the directly comparable financial measures prepared in accordance with GAAP. The non-GAAP financial measures are meant to supplement, and be viewed in conjunction with, GAAP financial measures. We urge investors to review the reconciliation of our non-GAAP financial measures to the comparable GAAP financial measures included below, and not to rely on any single financial measure to evaluate our business.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80"/>
        <w:spacing w:after="0" w:line="445" w:lineRule="auto"/>
        <w:rPr>
          <w:sz w:val="20"/>
          <w:szCs w:val="20"/>
          <w:color w:val="auto"/>
        </w:rPr>
      </w:pPr>
      <w:r>
        <w:rPr>
          <w:rFonts w:ascii="Arial" w:cs="Arial" w:eastAsia="Arial" w:hAnsi="Arial"/>
          <w:sz w:val="16"/>
          <w:szCs w:val="16"/>
          <w:b w:val="1"/>
          <w:bCs w:val="1"/>
          <w:color w:val="auto"/>
        </w:rPr>
        <w:t xml:space="preserve">Reconciliation of GAAP Financial Measures to Non-GAAP Financial Measures </w:t>
      </w:r>
      <w:r>
        <w:rPr>
          <w:rFonts w:ascii="Arial" w:cs="Arial" w:eastAsia="Arial" w:hAnsi="Arial"/>
          <w:sz w:val="16"/>
          <w:szCs w:val="16"/>
          <w:color w:val="auto"/>
        </w:rPr>
        <w:t>(In millions except for gross margin, operating margin and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89"/>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October 31,</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2011</w:t>
            </w: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2010</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4"/>
          </w:tcPr>
          <w:p>
            <w:pPr>
              <w:jc w:val="right"/>
              <w:ind w:right="433"/>
              <w:spacing w:after="0" w:line="142"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489.0</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428.2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1,451.6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 (1)</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Non-GAAP gross profit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501.0</w:t>
            </w:r>
          </w:p>
        </w:tc>
        <w:tc>
          <w:tcPr>
            <w:tcW w:w="3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437.2</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1,482.1</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Non-GAAP gross margin</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 (1)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135.1</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100.3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Operating margin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Amortization of purchased intangibles (1)</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Non-GAAP operating margin</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 (1)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Discrete tax provision items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Income tax effect of non-GAAP adjustments</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102.1</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share (2)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0.32</w:t>
            </w:r>
          </w:p>
        </w:tc>
        <w:tc>
          <w:tcPr>
            <w:tcW w:w="3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0.91</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Amortization of purchased intangibles (1)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Discrete tax provision items</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(0.02)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effect of non-GAAP adjustments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(0.05)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(0.04)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Non-GAAP diluted net income per share (2)</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0.44</w:t>
            </w:r>
          </w:p>
        </w:tc>
        <w:tc>
          <w:tcPr>
            <w:tcW w:w="3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1.28</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0" w:hanging="452"/>
        <w:spacing w:after="0" w:line="228"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Amortization of purchased intangibles includes amortization of purchased developed technology, customer relationships and trade names for acquisitions subsequent to December 2005.</w:t>
      </w:r>
    </w:p>
    <w:p>
      <w:pPr>
        <w:spacing w:after="0" w:line="1" w:lineRule="exact"/>
        <w:rPr>
          <w:rFonts w:ascii="Arial" w:cs="Arial" w:eastAsia="Arial" w:hAnsi="Arial"/>
          <w:sz w:val="22"/>
          <w:szCs w:val="22"/>
          <w:color w:val="auto"/>
          <w:vertAlign w:val="superscript"/>
        </w:rPr>
      </w:pPr>
    </w:p>
    <w:p>
      <w:pPr>
        <w:ind w:left="460" w:right="320" w:hanging="452"/>
        <w:spacing w:after="0" w:line="225"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Earnings per share were computed independently for each of the periods presented; therefore the sum of the earnings per share amounts for the quarters may not equal the total for the year.</w:t>
      </w:r>
    </w:p>
    <w:p>
      <w:pPr>
        <w:spacing w:after="0" w:line="237"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Our non-GAAP financial measures as set forth in the table above exclude the following:</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Stock-based compensation expenses</w:t>
      </w:r>
      <w:r>
        <w:rPr>
          <w:rFonts w:ascii="Arial" w:cs="Arial" w:eastAsia="Arial" w:hAnsi="Arial"/>
          <w:sz w:val="18"/>
          <w:szCs w:val="18"/>
          <w:color w:val="auto"/>
        </w:rPr>
        <w:t>. We exclude stock-based compensation expenses from non-GAAP measures primarily because they are non-cash</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management finds it useful to exclude certain non-cash charges to assess the appropriate level of various operating expenses to assist in budgeting, planning and forecasting future periods.</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Amortization of purchased intangibles</w:t>
      </w:r>
      <w:r>
        <w:rPr>
          <w:rFonts w:ascii="Arial" w:cs="Arial" w:eastAsia="Arial" w:hAnsi="Arial"/>
          <w:sz w:val="18"/>
          <w:szCs w:val="18"/>
          <w:color w:val="auto"/>
        </w:rPr>
        <w:t>. We incur amortization of acquisition-related purchased intangible assets primarily in connection with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businesses and technologies. The amortization of purchased intangibles varies depending on the level of acquisition activity and management finds it useful to exclude these variable charges to assess the appropriate level of various operating expenses to assist in budgeting, planning and forecasting future periods.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i w:val="1"/>
          <w:iCs w:val="1"/>
          <w:color w:val="auto"/>
        </w:rPr>
        <w:t>Restructuring charges</w:t>
      </w:r>
      <w:r>
        <w:rPr>
          <w:rFonts w:ascii="Arial" w:cs="Arial" w:eastAsia="Arial" w:hAnsi="Arial"/>
          <w:sz w:val="15"/>
          <w:szCs w:val="15"/>
          <w:color w:val="auto"/>
        </w:rPr>
        <w:t>. These expenses are associated with realigning our business strategies based on current economic conditions. In connection with</w:t>
      </w:r>
      <w:r>
        <w:rPr>
          <w:rFonts w:ascii="Arial" w:cs="Arial" w:eastAsia="Arial" w:hAnsi="Arial"/>
          <w:sz w:val="15"/>
          <w:szCs w:val="15"/>
          <w:i w:val="1"/>
          <w:iCs w:val="1"/>
          <w:color w:val="auto"/>
        </w:rPr>
        <w:t xml:space="preserve"> </w:t>
      </w:r>
      <w:r>
        <w:rPr>
          <w:rFonts w:ascii="Arial" w:cs="Arial" w:eastAsia="Arial" w:hAnsi="Arial"/>
          <w:sz w:val="15"/>
          <w:szCs w:val="15"/>
          <w:color w:val="auto"/>
        </w:rPr>
        <w:t>these restructuring actions, we recognize costs related to termination benefits for former employees whose positions were eliminated, and the closure of facilities and cancelation of certain contracts. We exclude these charges because these expenses are not reflective of ongoing financial results in the current period.</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Discrete tax items</w:t>
      </w:r>
      <w:r>
        <w:rPr>
          <w:rFonts w:ascii="Arial" w:cs="Arial" w:eastAsia="Arial" w:hAnsi="Arial"/>
          <w:sz w:val="16"/>
          <w:szCs w:val="16"/>
          <w:color w:val="auto"/>
        </w:rPr>
        <w:t>. We exclude the GAAP tax provision, including discrete items, from the non-GAAP measure of income, and include a non-GAAP tax</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provision based upon the projected annual non-GAAP effective tax rate. Discrete tax items include income tax expenses or benefits that do not relate to ordinary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 in the current fiscal year, unusual or infrequently occurring items, or the tax impact of certain stock-based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Examples of discrete tax items include, but are not limited to, certain changes in judgment and changes in estimates of tax matters related to prior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fiscal years, certain costs related to business combinations, certain changes in the realizability of deferred tax assets or changes in tax law. Management believes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this approach assists investors in understanding the tax provision and the effective tax rate related to ongoing operations.</w:t>
      </w:r>
    </w:p>
    <w:p>
      <w:pPr>
        <w:spacing w:after="0" w:line="16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i w:val="1"/>
          <w:iCs w:val="1"/>
          <w:color w:val="auto"/>
        </w:rPr>
        <w:t>Income tax effects on the difference between GAAP and non-GAAP costs and expenses</w:t>
      </w:r>
      <w:r>
        <w:rPr>
          <w:rFonts w:ascii="Arial" w:cs="Arial" w:eastAsia="Arial" w:hAnsi="Arial"/>
          <w:sz w:val="18"/>
          <w:szCs w:val="18"/>
          <w:color w:val="auto"/>
        </w:rPr>
        <w:t>. The income tax effects that are excluded from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relate to the tax impact on the difference between GAAP and non-GAAP costs and expenses, primarily due to stock-based compensation, purchased intangibles and restructuring for GAAP and non-GAAP measures.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invest in our growth initiatives, which include acquisitions of products, technology and businesses and to fund our stock repurchase program. See further discussion of these items below.</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October 31, 2011, our principal sources of liquidity were cash, cash equivalents and marketable securities totaling $1,534.2 million and net accounts receivable of $259.2 million. In addition, at October 31, 2011 we had a line of credit facility that permitted unsecured short-term borrowings of up to $400.0 million that we entered into in May 2011 and replaced our $250.0 million line of credit facility that would have expired in August 2012. During the three and nine months ended October 31, 2011 and 2010, we had no borrowings or repayments under our current or prior line of credit facility. This credit facility is available for working capital and general corporate purposes and expires in May 2016.</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cash and cash equivalents are held by diversified financial institutions globally. Our primary commercial banking relationship is with Citibank and its global affiliates (“Citibank”). In addition, Citibank is one of the lead lenders and agent in the syndicate of our $400.0 million line of credit.</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increase in our cash, cash equivalents and marketable securities from $1,466.9 million at January 31, 2011 to $1,534.2 million at October 31, 2011 is principally the result of cash generated from operations and to a lesser extent, the proceeds from the issuance of common stock following stock option exercises. These increases to cash, cash equivalents and marketable securities were partially offset by cash used for repurchases of our common stock, business combinations, capital expenditures, including developed technologies, and other investing activities. Cash generated from operations was positively impacted by higher net revenue.</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primary source for net cash provided by operating activities of $398.3 million for the nine months ended October 31, 2011 was net income of $213.3 million increased by the effect of non-cash expenses totaling $164.0 million associated with depreciation and amortization and stock-based compensation. In addition, net cash flow provided by changes in operating assets and liabilities was $55.3 million. The primary source of working capital was an increase in deferred revenue, a decrease in accounts receivable and an increase in accounts payable. Our days sales outstanding in trade receivables was 43 at October 31, 2011 compared to 55 days at January 31, 2011. The days sales outstanding decrease relates primarily to seasonality in our subscription contract renewals; subscription billings are generally higher in the fourth quarter in comparison to the rest of our fiscal year. The primary working capital uses of cash were for the purchase of shares under the Employee Stock Purchase Plan (“ESP Plan”) and payment of the reduction of the accrued expenses primarily related to our fiscal 2011 employee bonus accrual and fourth quarter fiscal 2011 commissions. At October 31, 2011, our short-term investment portfolio had an estimated fair value of $240.3 million and a cost basis of $239.3 million. The portfolio fair value consisted of $127.0 million invested in commercial paper and corporate securities, $50.1 million invested in U.S. government agency securities, $32.7 million invested in mutual funds, $15.4 million invested in U.S. treasury securities, $10.0 million invested in municipal securities, $4.8 million invested in certificates of deposit and time deposits with remaining maturities at the date of purchase greater than 90 days and less than one year and $0.3 million invested in other short-term securities.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At October 31, 2011, $32.7 million of trading securities were invested in a defined set of mutual funds as directed by the participants in our Deferred Compensation Plan (see Note 11, “Deferred Compensation,” in the Notes to Condensed Consolidated Financial Statements for further discussion).</w:t>
      </w:r>
    </w:p>
    <w:p>
      <w:pPr>
        <w:spacing w:after="0" w:line="85"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Long-term cash requirements for items other than normal operating expenses are anticipated for the following: stock repurchases; the acquisition of businesses, software products, or technologies complementary to our business; capital expenditures; and funding restructuring costs.</w:t>
      </w:r>
    </w:p>
    <w:p>
      <w:pPr>
        <w:spacing w:after="0" w:line="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of October 31, 2011,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2011.</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cash, cash equivalent and marketable securities balances are concentrated in a few locations around the world, with substantial amounts held outside of the U.S. We believe that such dispersion meets our business and liquidity needs.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utilize a variety of tax planning and financing strategies in an effort to ensure that our worldwide cash is available in the locations in which it is needed.</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existing cash, cash equivalents and investment balances may decline in fiscal 2012 in the event of a weakening of the global economy or changes in our planned cash outlay. 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the next 12 months. Our existing credit facility at December 6, 2011 is $400.0 million of which we have no amounts outstanding. This credit facility is available for working capital and general corporate purposes.</w:t>
      </w:r>
    </w:p>
    <w:p>
      <w:pPr>
        <w:spacing w:after="0" w:line="14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October 31, 2011,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notional amount of our option and forward contracts was $426.0 million and $401.6 million at October 31, 2011 and January 31, 2011,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purpose of Autodesk’s stock repurchase program is largely to help offset the dilution to net income per share caused by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conditions, the volume of employee stock option exercises, stock issuance, the trading price of our common stock, cash on hand and available in the U.S., and company defined trading windows. In December 2007, the Board of Directors approved a plan which authorized the repurchase of 20.0 million shares; at October 31, 2011, all shares have been repurchased under this plan. In December 2010, the Board of Directors approved an additional plan which authorized the repurchase of 20.0 million shares; at October 31, 2011, 3.3 million repurchases have been made under this plan. These plans do not have a fixed expiration date. During the three and nine months ended October 31, 2011, we repurchased 3.5 million and 7.7 million shares of our common stock, respectively. At October 31, 2011, 16.7 million shares remained available for repurchase under the existing repurchase authorization. This program does not have a fixed expiration date. See Note 16, “Common Stock Repurchase Program,” in the Notes to Condensed Consolidated Financial Statements for further discussion.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about the repurchase of common stock in open-market transactions during the quarter ended October 31, 2011: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Total Number of</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Maximum</w:t>
            </w:r>
          </w:p>
        </w:tc>
      </w:tr>
      <w:tr>
        <w:trPr>
          <w:trHeight w:val="149"/>
        </w:trPr>
        <w:tc>
          <w:tcPr>
            <w:tcW w:w="5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Shares</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r>
      <w:tr>
        <w:trPr>
          <w:trHeight w:val="149"/>
        </w:trPr>
        <w:tc>
          <w:tcPr>
            <w:tcW w:w="5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that May</w:t>
            </w:r>
          </w:p>
        </w:tc>
      </w:tr>
      <w:tr>
        <w:trPr>
          <w:trHeight w:val="149"/>
        </w:trPr>
        <w:tc>
          <w:tcPr>
            <w:tcW w:w="5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Yet Be</w:t>
            </w:r>
          </w:p>
        </w:tc>
      </w:tr>
      <w:tr>
        <w:trPr>
          <w:trHeight w:val="149"/>
        </w:trPr>
        <w:tc>
          <w:tcPr>
            <w:tcW w:w="568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620" w:type="dxa"/>
            <w:vAlign w:val="bottom"/>
          </w:tcPr>
          <w:p>
            <w:pPr>
              <w:spacing w:after="0"/>
              <w:rPr>
                <w:sz w:val="12"/>
                <w:szCs w:val="12"/>
                <w:color w:val="auto"/>
              </w:rPr>
            </w:pPr>
          </w:p>
        </w:tc>
        <w:tc>
          <w:tcPr>
            <w:tcW w:w="144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83"/>
              </w:rPr>
              <w:t>Average Price</w:t>
            </w:r>
          </w:p>
        </w:tc>
        <w:tc>
          <w:tcPr>
            <w:tcW w:w="16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Announced</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Purchased Under</w:t>
            </w:r>
          </w:p>
        </w:tc>
      </w:tr>
      <w:tr>
        <w:trPr>
          <w:trHeight w:val="134"/>
        </w:trPr>
        <w:tc>
          <w:tcPr>
            <w:tcW w:w="5680" w:type="dxa"/>
            <w:vAlign w:val="bottom"/>
          </w:tcPr>
          <w:p>
            <w:pPr>
              <w:spacing w:after="0"/>
              <w:rPr>
                <w:sz w:val="11"/>
                <w:szCs w:val="11"/>
                <w:color w:val="auto"/>
              </w:rPr>
            </w:pPr>
          </w:p>
        </w:tc>
        <w:tc>
          <w:tcPr>
            <w:tcW w:w="98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5"/>
              </w:rPr>
              <w:t>Shares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right"/>
              <w:ind w:right="820"/>
              <w:spacing w:after="0" w:line="135" w:lineRule="exact"/>
              <w:rPr>
                <w:sz w:val="20"/>
                <w:szCs w:val="20"/>
                <w:color w:val="auto"/>
              </w:rPr>
            </w:pPr>
            <w:r>
              <w:rPr>
                <w:rFonts w:ascii="Arial" w:cs="Arial" w:eastAsia="Arial" w:hAnsi="Arial"/>
                <w:sz w:val="14"/>
                <w:szCs w:val="14"/>
                <w:b w:val="1"/>
                <w:bCs w:val="1"/>
                <w:color w:val="auto"/>
                <w:w w:val="90"/>
              </w:rPr>
              <w:t>Paid per</w:t>
            </w:r>
          </w:p>
        </w:tc>
        <w:tc>
          <w:tcPr>
            <w:tcW w:w="1600" w:type="dxa"/>
            <w:vAlign w:val="bottom"/>
            <w:gridSpan w:val="2"/>
          </w:tcPr>
          <w:p>
            <w:pPr>
              <w:jc w:val="center"/>
              <w:ind w:right="640"/>
              <w:spacing w:after="0" w:line="135" w:lineRule="exact"/>
              <w:rPr>
                <w:sz w:val="20"/>
                <w:szCs w:val="20"/>
                <w:color w:val="auto"/>
              </w:rPr>
            </w:pPr>
            <w:r>
              <w:rPr>
                <w:rFonts w:ascii="Arial" w:cs="Arial" w:eastAsia="Arial" w:hAnsi="Arial"/>
                <w:sz w:val="14"/>
                <w:szCs w:val="14"/>
                <w:b w:val="1"/>
                <w:bCs w:val="1"/>
                <w:color w:val="auto"/>
                <w:w w:val="86"/>
              </w:rPr>
              <w:t>Plans or</w:t>
            </w:r>
          </w:p>
        </w:tc>
        <w:tc>
          <w:tcPr>
            <w:tcW w:w="11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the Plans or</w:t>
            </w:r>
          </w:p>
        </w:tc>
      </w:tr>
      <w:tr>
        <w:trPr>
          <w:trHeight w:val="176"/>
        </w:trPr>
        <w:tc>
          <w:tcPr>
            <w:tcW w:w="5680" w:type="dxa"/>
            <w:vAlign w:val="bottom"/>
          </w:tcPr>
          <w:p>
            <w:pPr>
              <w:spacing w:after="0"/>
              <w:rPr>
                <w:sz w:val="20"/>
                <w:szCs w:val="20"/>
                <w:color w:val="auto"/>
              </w:rPr>
            </w:pPr>
            <w:r>
              <w:rPr>
                <w:rFonts w:ascii="Arial" w:cs="Arial" w:eastAsia="Arial" w:hAnsi="Arial"/>
                <w:sz w:val="14"/>
                <w:szCs w:val="14"/>
                <w:i w:val="1"/>
                <w:iCs w:val="1"/>
                <w:color w:val="auto"/>
              </w:rPr>
              <w:t>(Shares in thousands)</w:t>
            </w: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Purchased</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w:t>
            </w:r>
          </w:p>
        </w:tc>
        <w:tc>
          <w:tcPr>
            <w:tcW w:w="1600" w:type="dxa"/>
            <w:vAlign w:val="bottom"/>
            <w:gridSpan w:val="2"/>
          </w:tcPr>
          <w:p>
            <w:pPr>
              <w:jc w:val="center"/>
              <w:ind w:right="640"/>
              <w:spacing w:after="0" w:line="176" w:lineRule="exact"/>
              <w:rPr>
                <w:sz w:val="20"/>
                <w:szCs w:val="20"/>
                <w:color w:val="auto"/>
              </w:rPr>
            </w:pPr>
            <w:r>
              <w:rPr>
                <w:rFonts w:ascii="Arial" w:cs="Arial" w:eastAsia="Arial" w:hAnsi="Arial"/>
                <w:sz w:val="13"/>
                <w:szCs w:val="13"/>
                <w:b w:val="1"/>
                <w:bCs w:val="1"/>
                <w:color w:val="auto"/>
                <w:w w:val="89"/>
              </w:rPr>
              <w:t xml:space="preserve">Programs </w:t>
            </w:r>
            <w:r>
              <w:rPr>
                <w:rFonts w:ascii="Arial" w:cs="Arial" w:eastAsia="Arial" w:hAnsi="Arial"/>
                <w:sz w:val="20"/>
                <w:szCs w:val="20"/>
                <w:b w:val="1"/>
                <w:bCs w:val="1"/>
                <w:color w:val="auto"/>
                <w:w w:val="89"/>
                <w:vertAlign w:val="superscript"/>
              </w:rPr>
              <w:t>(1)</w:t>
            </w:r>
          </w:p>
        </w:tc>
        <w:tc>
          <w:tcPr>
            <w:tcW w:w="110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89"/>
              </w:rPr>
              <w:t xml:space="preserve">Programs </w:t>
            </w:r>
            <w:r>
              <w:rPr>
                <w:rFonts w:ascii="Arial" w:cs="Arial" w:eastAsia="Arial" w:hAnsi="Arial"/>
                <w:sz w:val="20"/>
                <w:szCs w:val="20"/>
                <w:b w:val="1"/>
                <w:bCs w:val="1"/>
                <w:color w:val="auto"/>
                <w:w w:val="89"/>
                <w:vertAlign w:val="superscript"/>
              </w:rPr>
              <w:t>(2)</w:t>
            </w:r>
          </w:p>
        </w:tc>
      </w:tr>
      <w:tr>
        <w:trPr>
          <w:trHeight w:val="210"/>
        </w:trPr>
        <w:tc>
          <w:tcPr>
            <w:tcW w:w="5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August 1—August 31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1,276.0</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6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1,276.0</w:t>
            </w:r>
          </w:p>
        </w:tc>
        <w:tc>
          <w:tcPr>
            <w:tcW w:w="6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September 1—September 30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2,226.5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27.31</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2,226.5</w:t>
            </w:r>
          </w:p>
        </w:tc>
        <w:tc>
          <w:tcPr>
            <w:tcW w:w="1000" w:type="dxa"/>
            <w:vAlign w:val="bottom"/>
          </w:tcPr>
          <w:p>
            <w:pPr>
              <w:jc w:val="right"/>
              <w:spacing w:after="0"/>
              <w:rPr>
                <w:sz w:val="20"/>
                <w:szCs w:val="20"/>
                <w:color w:val="auto"/>
              </w:rPr>
            </w:pPr>
            <w:r>
              <w:rPr>
                <w:rFonts w:ascii="Arial" w:cs="Arial" w:eastAsia="Arial" w:hAnsi="Arial"/>
                <w:sz w:val="18"/>
                <w:szCs w:val="18"/>
                <w:color w:val="auto"/>
              </w:rPr>
              <w:t>16,740.0</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October 1—October 31</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16,740.0</w:t>
            </w:r>
          </w:p>
        </w:tc>
        <w:tc>
          <w:tcPr>
            <w:tcW w:w="100" w:type="dxa"/>
            <w:vAlign w:val="bottom"/>
            <w:shd w:val="clear" w:color="auto" w:fill="CCEEFF"/>
          </w:tcPr>
          <w:p>
            <w:pPr>
              <w:spacing w:after="0"/>
              <w:rPr>
                <w:sz w:val="18"/>
                <w:szCs w:val="18"/>
                <w:color w:val="auto"/>
              </w:rPr>
            </w:pPr>
          </w:p>
        </w:tc>
      </w:tr>
      <w:tr>
        <w:trPr>
          <w:trHeight w:val="222"/>
        </w:trPr>
        <w:tc>
          <w:tcPr>
            <w:tcW w:w="568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3,502.5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26.93</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3,502.5</w:t>
            </w:r>
          </w:p>
        </w:tc>
        <w:tc>
          <w:tcPr>
            <w:tcW w:w="1000" w:type="dxa"/>
            <w:vAlign w:val="bottom"/>
          </w:tcPr>
          <w:p>
            <w:pPr>
              <w:jc w:val="right"/>
              <w:spacing w:after="0"/>
              <w:rPr>
                <w:sz w:val="20"/>
                <w:szCs w:val="20"/>
                <w:color w:val="auto"/>
              </w:rPr>
            </w:pPr>
            <w:r>
              <w:rPr>
                <w:rFonts w:ascii="Arial" w:cs="Arial" w:eastAsia="Arial" w:hAnsi="Arial"/>
                <w:sz w:val="18"/>
                <w:szCs w:val="18"/>
                <w:color w:val="auto"/>
              </w:rPr>
              <w:t>16,740.0</w:t>
            </w:r>
          </w:p>
        </w:tc>
        <w:tc>
          <w:tcPr>
            <w:tcW w:w="10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Represents shares purchased in open-market transactions under the stock repurchase plan approved by the Board of Directors.</w:t>
      </w:r>
    </w:p>
    <w:p>
      <w:pPr>
        <w:spacing w:after="0" w:line="7" w:lineRule="exact"/>
        <w:rPr>
          <w:rFonts w:ascii="Arial" w:cs="Arial" w:eastAsia="Arial" w:hAnsi="Arial"/>
          <w:sz w:val="22"/>
          <w:szCs w:val="22"/>
          <w:color w:val="auto"/>
          <w:vertAlign w:val="superscript"/>
        </w:rPr>
      </w:pPr>
    </w:p>
    <w:p>
      <w:pPr>
        <w:ind w:left="460" w:right="180" w:hanging="452"/>
        <w:spacing w:after="0" w:line="221" w:lineRule="auto"/>
        <w:tabs>
          <w:tab w:leader="none" w:pos="46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These amounts correspond to the plans approved by the Board of Directors in December 2007 and December 2010 that each authorized the repurchase of 20.0 million shares. These plans do not have a fixed expiration date.</w:t>
      </w:r>
    </w:p>
    <w:p>
      <w:pPr>
        <w:spacing w:after="0" w:line="156"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There were no sales of unregistered securities during the three months ended October 31,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Other than operating leases, we do not engage in off-balance sheet financing arrangements or have any variable-interest entities. As of October 31, 2011, we did not have any off-balance sheet arrangements as defined in Item 303(a)(4)(ii) of SEC Regulation 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BIM (Building Information Modeling)—</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Digital prototyping—</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model rather than a physical model.</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Upgrade—</w:t>
      </w:r>
      <w:r>
        <w:rPr>
          <w:rFonts w:ascii="Arial" w:cs="Arial" w:eastAsia="Arial" w:hAnsi="Arial"/>
          <w:sz w:val="16"/>
          <w:szCs w:val="16"/>
          <w:color w:val="auto"/>
        </w:rPr>
        <w:t>In an upgrade, a customer pays an incremental fee at currently available prices toward the purchase of the latest version of the same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Upgrades are available only for licenses of software that are three versions prior to the latest version available or newer; the license to the previous version of the product is terminated. A similar exchange and termination of a previous version of a product that is four versions prior to the latest version available or older, is recorded as commercial new revenue. An upgrade also includes a crossgrade where a customer pays an incremental fee at currently available prices toward the purchase of a different product; the license to the previous product is terminated.</w:t>
      </w:r>
    </w:p>
    <w:p>
      <w:pPr>
        <w:spacing w:after="0" w:line="11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i w:val="1"/>
          <w:iCs w:val="1"/>
          <w:color w:val="auto"/>
        </w:rPr>
        <w:t>Flagship—</w:t>
      </w:r>
      <w:r>
        <w:rPr>
          <w:rFonts w:ascii="Arial" w:cs="Arial" w:eastAsia="Arial" w:hAnsi="Arial"/>
          <w:sz w:val="16"/>
          <w:szCs w:val="16"/>
          <w:color w:val="auto"/>
        </w:rPr>
        <w:t>Autodesk flagship products are our core design products. Flagship includes the following products: Autodesk 3ds Max, AutoCAD, AutoCAD</w:t>
      </w:r>
      <w:r>
        <w:rPr>
          <w:rFonts w:ascii="Arial" w:cs="Arial" w:eastAsia="Arial" w:hAnsi="Arial"/>
          <w:sz w:val="16"/>
          <w:szCs w:val="16"/>
          <w:i w:val="1"/>
          <w:iCs w:val="1"/>
          <w:color w:val="auto"/>
        </w:rPr>
        <w:t xml:space="preserve"> </w:t>
      </w:r>
      <w:r>
        <w:rPr>
          <w:rFonts w:ascii="Arial" w:cs="Arial" w:eastAsia="Arial" w:hAnsi="Arial"/>
          <w:sz w:val="16"/>
          <w:szCs w:val="16"/>
          <w:color w:val="auto"/>
        </w:rPr>
        <w:t>LT, AutoCAD vertical products (such as AutoCAD Architecture and AutoCAD Mechanical), Civil 3D, Maya, Plant 3D and Revit products (standalone).</w:t>
      </w:r>
    </w:p>
    <w:p>
      <w:pPr>
        <w:spacing w:after="0" w:line="85" w:lineRule="exact"/>
        <w:rPr>
          <w:sz w:val="20"/>
          <w:szCs w:val="20"/>
          <w:color w:val="auto"/>
        </w:rPr>
      </w:pPr>
    </w:p>
    <w:p>
      <w:pPr>
        <w:jc w:val="both"/>
        <w:ind w:right="380" w:firstLine="456"/>
        <w:spacing w:after="0" w:line="298" w:lineRule="auto"/>
        <w:rPr>
          <w:sz w:val="20"/>
          <w:szCs w:val="20"/>
          <w:color w:val="auto"/>
        </w:rPr>
      </w:pPr>
      <w:r>
        <w:rPr>
          <w:rFonts w:ascii="Arial" w:cs="Arial" w:eastAsia="Arial" w:hAnsi="Arial"/>
          <w:sz w:val="16"/>
          <w:szCs w:val="16"/>
          <w:i w:val="1"/>
          <w:iCs w:val="1"/>
          <w:color w:val="auto"/>
        </w:rPr>
        <w:t>Suites—</w:t>
      </w:r>
      <w:r>
        <w:rPr>
          <w:rFonts w:ascii="Arial" w:cs="Arial" w:eastAsia="Arial" w:hAnsi="Arial"/>
          <w:sz w:val="16"/>
          <w:szCs w:val="16"/>
          <w:color w:val="auto"/>
        </w:rPr>
        <w:t>Autodesk suites are a combination of products that target a specific user objective (product design, building design, etc.) and support a set of</w:t>
      </w:r>
      <w:r>
        <w:rPr>
          <w:rFonts w:ascii="Arial" w:cs="Arial" w:eastAsia="Arial" w:hAnsi="Arial"/>
          <w:sz w:val="16"/>
          <w:szCs w:val="16"/>
          <w:i w:val="1"/>
          <w:iCs w:val="1"/>
          <w:color w:val="auto"/>
        </w:rPr>
        <w:t xml:space="preserve"> </w:t>
      </w:r>
      <w:r>
        <w:rPr>
          <w:rFonts w:ascii="Arial" w:cs="Arial" w:eastAsia="Arial" w:hAnsi="Arial"/>
          <w:sz w:val="16"/>
          <w:szCs w:val="16"/>
          <w:color w:val="auto"/>
        </w:rPr>
        <w:t>workflows for that objective. Our new design and creation suites include: Autodesk Design Suite, Autodesk Building Design Suite, Autodesk Entertainment Creation Suite, Autodesk Factory Design Suite, Autodesk Infrastructure Design Suite, Autodesk Plant Design Suite and Autodesk Product Design Suite. Our previously established suites include: Autodesk Inventor family suites, Autodesk Revit family suites and educational/academic suites.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New and Adjacent—</w:t>
      </w:r>
      <w:r>
        <w:rPr>
          <w:rFonts w:ascii="Arial" w:cs="Arial" w:eastAsia="Arial" w:hAnsi="Arial"/>
          <w:sz w:val="18"/>
          <w:szCs w:val="18"/>
          <w:color w:val="auto"/>
        </w:rPr>
        <w:t>Autodesk new and adjacent products include Autodesk’s new product offerings as well as products that are not included in flagship or</w:t>
      </w:r>
      <w:r>
        <w:rPr>
          <w:rFonts w:ascii="Arial" w:cs="Arial" w:eastAsia="Arial" w:hAnsi="Arial"/>
          <w:sz w:val="18"/>
          <w:szCs w:val="18"/>
          <w:i w:val="1"/>
          <w:iCs w:val="1"/>
          <w:color w:val="auto"/>
        </w:rPr>
        <w:t xml:space="preserve"> </w:t>
      </w:r>
      <w:r>
        <w:rPr>
          <w:rFonts w:ascii="Arial" w:cs="Arial" w:eastAsia="Arial" w:hAnsi="Arial"/>
          <w:sz w:val="18"/>
          <w:szCs w:val="18"/>
          <w:color w:val="auto"/>
        </w:rPr>
        <w:t>suites. New and adjacent includes the following services and products: Autodesk Alias Design products, Autodesk Consulting, Autodesk Buzzsaw, Autodesk Constructware, Autodesk consumer products, Autodesk Creative Finishing products, Autodesk Moldflow products, Autodesk Navisworks, Autodesk Simulation, Autodesk Vault products and all other products.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Constant currency growth rates—</w:t>
      </w:r>
      <w:r>
        <w:rPr>
          <w:rFonts w:ascii="Arial" w:cs="Arial" w:eastAsia="Arial" w:hAnsi="Arial"/>
          <w:sz w:val="18"/>
          <w:szCs w:val="18"/>
          <w:color w:val="auto"/>
        </w:rPr>
        <w:t>We attempt to represent the changes in the underlying business operations by eliminating fluctuations caused by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foreign currency exchange rates as well as eliminating hedge gains or losses recorded within the current and comparative period. Our constant currency methodology removes all hedging gains and losses from the calculation.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 exchange risk</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October 31, 2011 and January 31, 2011,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notional amount of our option and forward contracts was $426.0 million and $401.6 million at October 31, 2011 and January 31, 2011, respectively.</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utilize foreign currency contracts to reduce the exchange rate impact on the net revenue and operating expenses of certain anticipated transactions. A sensitivity analysis performed on our hedging portfolio as of October 31, 2011 indicated that a hypothetical 10% appreciation of the U.S. dollar from its value at October 31, 2011 and January 31, 2011 would increase the fair value of our foreign currency contracts by $36.4 million and $31.6 million, respectively. A hypothetical 10% depreciation of the dollar from its value at October 31, 2011 and January 31, 2011 would decrease the fair value of our foreign currency contracts by $21.5 million and $26.6 million, respectively.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rate movements affect both the interest income we earn on our short term investments and, to a lesser extent, the market value of certain longer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term securities. At October 31, 2011, we had $1,231.6 million of cash equivalents and marketable securities. With an average investment balance for the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$941.0 million, if interest rates were to change by 10%, this would result in a $0.1 million change in annual interest income. Further,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31, 2011, we had approximately $308.5 million invested in a longer term portfolio (with remaining maturities that may be less than one year) which,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and 100 basis point moves, would result in market value changes (gains or losses) of $2.1 million and $4.1 million respectively, over a twelve month period.</w:t>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Quarterly Report on Form 10-Q.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October 31, 2011 that have materially affected, or are reasonably likely to materially affect, our internal controls over financial reporting.</w:t>
      </w:r>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60"/>
          </w:cols>
          <w:pgMar w:left="240" w:top="459" w:right="5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global economic uncertainty may impact our business, financial results and financial condition.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our business has expanded globally, we have increasingly become subject to risks arising from adverse changes in global economic and political conditions. The past several years have been characterized by weak global economic conditions, a tightening in the credit markets, high unemployment, a low level of liquidity in many financial markets, increased government deficit spending and debt levels, certain governments’ abilities to repay such debt and extreme volatility in many financial instrument markets. Although some of these conditions appear to be abating there are a number of mixed indicators and it is not yet clear whether a sustainable recovery is occurring or a renewed slow-down is taking place.</w:t>
      </w:r>
    </w:p>
    <w:p>
      <w:pPr>
        <w:spacing w:after="0" w:line="116"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has caused many countries to reduce spending and in some cases has forced those countries to restructure their debt in an effort to avoid defaulting under those obligations. This has not only impacted those countries but others that are holders of such debt and those assisting in such restructuring.</w:t>
      </w:r>
    </w:p>
    <w:p>
      <w:pPr>
        <w:spacing w:after="0" w:line="10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In addition, these factors may cause, and over the past several years have caused, us to restructure our business and in turn incur restructuring charges as well as take impairment charges on some of our long-term assets. In addition, the improvement of our financial performance over the past several fiscal quarters may be negatively impacted by:</w:t>
      </w:r>
    </w:p>
    <w:p>
      <w:pPr>
        <w:spacing w:after="0" w:line="62"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impairing our distribution channels and cash flows;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decreased borrowing and spending by our end users on small and large projects in the industries we serve, thereby reducing demand for our products.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Our financial results fluctuate within each quarter and from quarter to quarter making our future revenue and financial results difficult to predict.</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quarterly financial results have fluctuated in the past and may do so in the future. These fluctuations could cause our stock price to change significantly or experience declines. In addition to the other factors described in this Part II, Item 1A, some of the factors that could cause our financial results to fluctuate include:</w:t>
      </w:r>
    </w:p>
    <w:p>
      <w:pPr>
        <w:spacing w:after="0" w:line="59"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general market, economic, business and political conditions, including the impact of sales in particular geographies, including emerging economies,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governments around the world to meet their financial and debt obligations, and finance infrastructure projects,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lower growth or contraction of our upgrade or maintenance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success of our hedging activity,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expand our AutoCAD and AutoCAD LT products customer base to related design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 (“suites”),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9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weak or negative growth in the industries we serve, including architecture, engineering and construction, manufacturing and digital media and entertainment markets,</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key new applications,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pricing pressure or changes in product pricing or product mix,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platform changes,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continue momentum of frequent release cycles or to move a significant number of customers from prior product versions in connection with our programs to retire major products,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achieve and maintain planned cost reductions and productivity increases,</w:t>
      </w:r>
    </w:p>
    <w:p>
      <w:pPr>
        <w:spacing w:after="0" w:line="90" w:lineRule="exact"/>
        <w:rPr>
          <w:rFonts w:ascii="Arial" w:cs="Arial" w:eastAsia="Arial" w:hAnsi="Arial"/>
          <w:sz w:val="18"/>
          <w:szCs w:val="18"/>
          <w:color w:val="auto"/>
        </w:rPr>
      </w:pPr>
    </w:p>
    <w:p>
      <w:pPr>
        <w:jc w:val="both"/>
        <w:ind w:left="900" w:right="60" w:hanging="446"/>
        <w:spacing w:after="0" w:line="357"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changes in tax laws or regulations, tax arrangements with foreign governments or accounting rules, such as increased use of fair value measures and the potential requirement that U.S. registrants prepare financial statements in accordance with International Financial Reporting Standards (“IFRS”),</w:t>
      </w: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dependence and the timing of large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and new computing platforms,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 party developers,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natural disasters such as the earthquakes and tsunami in Japan in March 2011.</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conditions. In particular, our financial results in Europe during our third quarter are usually affected by a slower summer period, and our Asia Pacific operations typically experience seasonal slowing in our third and fourth quarters.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operating expenses are based in part on our expectations for future revenue and are relatively fixed in the short term. Accordingly, any revenue shortfall below expectations could have an immediate and significant adverse effect on our profitability. Greater than anticipated expenses or a failure to maintain rigorous cost controls would also negatively affect profitability. Further, gross margins may be adversely affected if our sales of Creative Finishing products, which historically have had lower margins, grow at a faster rate than sales of our higher-margin products.</w:t>
      </w:r>
    </w:p>
    <w:p>
      <w:pPr>
        <w:spacing w:after="0" w:line="194"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negatively impacts our future revenue and financial results.</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overall global economy, the health of their businesses, and the perceived value of the maintenance program. If our customers do not attach maintenance to their initial license or renew their maintenance contract for our products, our maintenance revenue will decline and our financial results will suffer.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addition, a portion of the growth of our maintenance revenue has typically been associated with growth of the number of licenses that we sell. Any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reduction in the number of licenses that we sell, even if our customers’ attach rates do not change, will have a negative impact on our future maintenance revenue.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This in turn would impact our business and harm our financial results.</w:t>
      </w:r>
    </w:p>
    <w:p>
      <w:pPr>
        <w:spacing w:after="0" w:line="16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net maintenance billings will negatively impact future maintenance revenue, however future maintenance revenue will also be impacted by other factors such as the amount, timing and mix of contract terms of future billings.</w:t>
      </w:r>
    </w:p>
    <w:p>
      <w:pPr>
        <w:spacing w:after="0" w:line="221"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5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are dependent on our international operations for a significant portion of our revenue.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These factors have recently adversely impacted and may in the future adversely impact our international revenue, and consequently our business as a whole. Further, our dependency on international revenue makes us much more exposed to global economic and political trends, which can negatively impact our financial results, even if our results in the U.S. are strong for a particular period.</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and practices, delays resulting from difficulty in obtaining export licenses for certain technology, tariffs, quotas and other trade barriers and restrictions, transportation delays, operating in locations with a higher incidence of corruption and fraudulent business practices, particularly in emerging economies, increasing enforcement by the U.S. under the Foreign Corrupt Practices Act, adoption of stricter anti-corruption laws in certain countries, including the United Kingdom, difficulties in staffing and managing foreign sales and development operations, longer collection cycles for accounts receivable, potential changes in tax laws, including possible U.S. tax law changes that, if enacted, could significantly impact how U.S. multinational companies are taxed on foreign subsidiary earnings, tax arrangements with foreign governments, including our ability to meet and review the terms of those tax arrangements, and laws regarding the management of and access to data and public networks, possible future limitations upon foreign owned businesses, increased financial accounting and reporting burdens and complexities, inadequate local infrastructure, greater difficulty in protecting intellectual property, and other factors beyond our control, including popular uprisings, terrorism, war, natural disasters and diseases.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regularly acquire or invest in businesses, software products and technologies that are complementary to our business through acquisitions, strategic alliances or equity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 Our recent increase in the number of acquisitions further exacerbates these risks.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9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retain customers, vendors, distributors, business partners, and other entities associated with the acquired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distributors as business partners as a result of acquiring another business;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for incompatible business cultures;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transaction or integration-related costs.</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net revenue and profits.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believe that our future results depend largely upon our ability to offer products that compete favorably with respect to reliability, performance, ease of use, range of useful features, continuing product enhancements, reputation and price.</w:t>
      </w:r>
    </w:p>
    <w:p>
      <w:pPr>
        <w:spacing w:after="0" w:line="213"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i w:val="1"/>
          <w:iCs w:val="1"/>
          <w:color w:val="auto"/>
        </w:rPr>
        <w:t>The current global economic uncertainty may impact our business forcing us to take actions that could be costly and may not be as effective as we anticipate, and may force us to take additional actions to reduce our expenses and stimulate demand for our products.</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current global economic uncertainty may lead to a reduction of our revenue levels and force us to take actions to reduce our cost structure to more closely align our costs with our reduced revenue levels. Over the past several years we have on several occasions taken such actions. In taking any future restructuring actions, we may incur, and over the past several years have incurred, additional costs that negatively impact our operating margins. If we do not achieve the proper balance of these cost reduction initiatives, we may eliminate critical elements of our operations, the loss of which could negatively impact our ability to benefit from eventual economic growth.</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addition, such global economic uncertainty and resulting impact on our business may cause us to take, and over the past several years we have taken, actions to stimulate demand for our products through a number of programs. Although we attempt to balance the cost of these programs against the longer term benefits, it is possible that we will make such investments without corresponding increases in demand for our products and our revenue. This would further reduce our operating margins and have a negative impact on our financial results.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market price for our common stock has experienced significant fluctuations and may continue to fluctuate significantly. The market price for our common stock may be affected by a number of factors, including:</w:t>
      </w:r>
    </w:p>
    <w:p>
      <w:pPr>
        <w:spacing w:after="0" w:line="51"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earnings or key performance metrics;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by securities analysts;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in our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 and</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21" w:lineRule="exact"/>
        <w:rPr>
          <w:sz w:val="20"/>
          <w:szCs w:val="20"/>
          <w:color w:val="auto"/>
        </w:rPr>
      </w:pPr>
    </w:p>
    <w:p>
      <w:pPr>
        <w:ind w:left="240"/>
        <w:spacing w:after="0" w:line="256"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is negatively impacted by the recent consolidation between two important distributors, or is not provided the right mix of incentives to sell our products, our ability to generate revenue will be adversely affected.</w:t>
      </w:r>
    </w:p>
    <w:p>
      <w:pPr>
        <w:spacing w:after="0" w:line="62"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We sell our software products both directly to end-users and through a network of distributors and resellers. For the three and nine months ended October 31, 2011, approximately 85% and 86%, respectively,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Corporation and its global affiliates (“Tech Data”). Tech Data accounted for 16% of our total net revenue for both the three and nine months ended October 31, 2011, as compared to 15% and 16% for the three and nine months ended October 31, 2010, respectively.</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October 27, 2011, Tech Data purchased certain assets of Mensch und Maschine Software (“MuM”) in Europe. MuM has been a European distributor of our products in that region. The acquisition concentrates additional sales through Tech Data and on a consolidated basis would have accounted for 20% and 22% of our revenue for the three and nine months ended October 31, 2011, respectively if the acquisition had occurred on February 1, 2011. Although we believe that we are not substantially dependent on Tech Data, including following the acquisition of certain assets of MuM,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224" w:lineRule="exact"/>
        <w:rPr>
          <w:sz w:val="20"/>
          <w:szCs w:val="20"/>
          <w:color w:val="auto"/>
        </w:rPr>
      </w:pPr>
    </w:p>
    <w:p>
      <w:pPr>
        <w:ind w:left="240" w:right="620"/>
        <w:spacing w:after="0" w:line="332" w:lineRule="auto"/>
        <w:rPr>
          <w:sz w:val="20"/>
          <w:szCs w:val="20"/>
          <w:color w:val="auto"/>
        </w:rPr>
      </w:pPr>
      <w:r>
        <w:rPr>
          <w:rFonts w:ascii="Arial" w:cs="Arial" w:eastAsia="Arial" w:hAnsi="Arial"/>
          <w:sz w:val="16"/>
          <w:szCs w:val="16"/>
          <w:i w:val="1"/>
          <w:iCs w:val="1"/>
          <w:color w:val="auto"/>
        </w:rPr>
        <w:t>Our strategy to develop and introduce new product and service offerings, including new product features, exposes us to risks such as limited customer acceptance, costs related to product defects and large expenditures that may not result in additional net revenue.</w:t>
      </w:r>
    </w:p>
    <w:p>
      <w:pPr>
        <w:spacing w:after="0" w:line="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We devote significant resources to the development of new technologies, such as our design and entertainment products and our digital prototyping and collaboration products. In addition, we frequently introduce new business models or methods that require a considerable investment of technical and financial resources such as an increase in our portfolio of, and focus on, suites. We are making such investments through further development and enhancement of our existing products, as well as through acquisitions of new product lines. Such investments may not result in sufficient revenue generation to justify their costs, or competitors may introduce new products and services that achieve acceptance among our current customers, adversely affecting our competitive position.</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particular, a critical component of our growth strategy is to have customers of our AutoCAD and AutoCAD LT products expand their portfolios to include our suites. Over time, we aim to migrate customers using standalone Autodesk products to expand their portfolio with our suites offerings. Should sales of licenses of our AutoCAD and AutoCAD LT or standalone Autodesk flagship products decrease without a corresponding increase in suites product revenue or without purchases of customer seats to our suites, our results of operations will be adversely affected. 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Further, given the rapid speed of changing customer expectations and advancement of technology inherent in the software industry, the extensive and complex efforts required to create useful and widely accepted products and the rapid evolution of cloud computing, mobile devices, new computing platforms and other technologies, our executive management team must act quickly, continuously and with vision. Although we have articulated a strategy that we believe will fulfill these challenges, if we fail to execute properly on that strategy, adapt that strategy as market conditions evolve, fail to internalize and execute on that strategy,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201"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i w:val="1"/>
          <w:iCs w:val="1"/>
          <w:color w:val="auto"/>
        </w:rPr>
        <w:t>From time to time we introduce new business and sales initiatives; if we fail to successfully execute and manage these initiatives, our results of operations could be negatively impacted.</w:t>
      </w:r>
    </w:p>
    <w:p>
      <w:pPr>
        <w:spacing w:after="0" w:line="5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As part of our effort to accommodate our customers’ needs and demands and the rapid evolution of technology, we from time to time evolve our business and sales initiatives such as our expanding portfolio of suites and our offering of software as a service. We may take such actions without clear indications that they will prove successful.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our actual results may vary materially from those anticipated, and our financial results will be negatively impacted.</w:t>
      </w:r>
    </w:p>
    <w:p>
      <w:pPr>
        <w:spacing w:after="0" w:line="225" w:lineRule="exact"/>
        <w:rPr>
          <w:sz w:val="20"/>
          <w:szCs w:val="20"/>
          <w:color w:val="auto"/>
        </w:rPr>
      </w:pPr>
    </w:p>
    <w:p>
      <w:pPr>
        <w:ind w:left="240" w:right="460"/>
        <w:spacing w:after="0" w:line="268"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including suites, if these products are not successful, our net revenue will be adversely affected.</w:t>
      </w:r>
    </w:p>
    <w:p>
      <w:pPr>
        <w:spacing w:after="0" w:line="5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derive a substantial portion of our net revenue from sales of licenses of a small number of our products, including AutoCAD software, products based on AutoCAD, which includes our suites that serve specific markets, upgrades to those products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three and nine months ended October 31, 2011, combined revenue from our AutoCAD and AutoCAD LT products represented 31% and 33%, respectively, of our total net revenue.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we expect that software piracy will remain a persistent problem. Furthermore, our means of protecting our proprietary rights may not be adequate.</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use derivative instruments to manage a portion of our earnings exposure and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1 to 12 months in the future, and provide us with some protection against currency exposures. However, our attempts to hedge against these risks may not be successful, resulting in an adverse impact on our financial results.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our loss of significant rights.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 and the functionality of products in different industry segments overlap,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99" w:lineRule="exact"/>
        <w:rPr>
          <w:sz w:val="20"/>
          <w:szCs w:val="20"/>
          <w:color w:val="auto"/>
        </w:rPr>
      </w:pPr>
    </w:p>
    <w:p>
      <w:pPr>
        <w:ind w:left="240" w:right="120"/>
        <w:spacing w:after="0" w:line="256"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further cause interest rates to decline, credit ratings of our investments to deteriorate, or illiquidity in the financial marketplace, we may continue to experience a decline in interest income, an inability to sell our investments, or impairment in the value of our investments.</w:t>
      </w:r>
    </w:p>
    <w:p>
      <w:pPr>
        <w:spacing w:after="0" w:line="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interest income, or result in material charges, which in turn could impact our overall net income and earnings per share.</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If we were to experience a loss on any of our investments that loss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88"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 for our securities.</w:t>
      </w:r>
    </w:p>
    <w:p>
      <w:pPr>
        <w:spacing w:after="0" w:line="5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are involved in legal proceedings and receive inquiries from regulatory agencies. As the global economy has changed and our business has evolved, we have seen an increase in litigation activity. In addition,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While outcomes of such actions vary,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199"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i w:val="1"/>
          <w:iCs w:val="1"/>
          <w:color w:val="auto"/>
        </w:rPr>
        <w:t>A breach of security in our products or computer systems may compromise the integrity of our products, harm our reputation, create additional liability and adversely impact our financial results.</w:t>
      </w:r>
    </w:p>
    <w:p>
      <w:pPr>
        <w:spacing w:after="0" w:line="5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make significant efforts to maintain the security and integrity of our product source code and computer systems. There appears to be an increasing number of computer “hackers” developing and deploying a variety of destructive software programs (such as viruses, worms, and the like) that could attack our products and computer systems. Despite significant efforts to create security barriers to such programs, it is virtually impossible for us to entirely mitigate this risk. Like all software products, our software is vulnerable to such attacks. The impact of such an attack could disrupt the proper functioning of our software products, cause errors in the output of our customers’ work, allow unauthorized access to sensitive, proprietary or confidential information of ours or our customers and other destructive outcomes. If this were to occur, our reputation may suffer, customers may stop buying our products, we could face lawsuits and potential liability and our financial performance could be negatively impacted.</w:t>
      </w:r>
    </w:p>
    <w:p>
      <w:pPr>
        <w:spacing w:after="0" w:line="199" w:lineRule="exact"/>
        <w:rPr>
          <w:sz w:val="20"/>
          <w:szCs w:val="20"/>
          <w:color w:val="auto"/>
        </w:rPr>
      </w:pPr>
    </w:p>
    <w:p>
      <w:pPr>
        <w:ind w:left="240" w:right="260"/>
        <w:spacing w:after="0" w:line="259" w:lineRule="auto"/>
        <w:rPr>
          <w:sz w:val="20"/>
          <w:szCs w:val="20"/>
          <w:color w:val="auto"/>
        </w:rPr>
      </w:pPr>
      <w:r>
        <w:rPr>
          <w:rFonts w:ascii="Arial" w:cs="Arial" w:eastAsia="Arial" w:hAnsi="Arial"/>
          <w:sz w:val="18"/>
          <w:szCs w:val="18"/>
          <w:i w:val="1"/>
          <w:iCs w:val="1"/>
          <w:color w:val="auto"/>
        </w:rPr>
        <w:t>While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5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While we have determined that our internal control over financial reporting was effective as of January 31, 2011, as indicated in our Management Report on Internal Control over Financial Reporting, included in our Annual Report on Form 10-K for the fiscal year ended January 31, 2011, we must continue to monitor and assess our internal control over financial reporting. If our management identifies one or more material weaknesses in our internal control over financial reporting and such weakness remains uncorrected at fiscal year-end, we will be unable to assert such internal control is effective at fiscal year-end.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condensed consolidated financial statements, which, if not accurate, may significantly impact our financial results.</w:t>
      </w:r>
    </w:p>
    <w:p>
      <w:pPr>
        <w:spacing w:after="0" w:line="5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condensed consolidated financial statements. Actual results could differ materially from our estimates, and such differences could significantly impact our financial results.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90"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1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addition, the SEC has stated that it intends to make a determination in 2011 regarding the incorporation of IFRS into the financial reporting system for U.S. companies. A change in accounting principles from GAAP to IFRS may have a material impact on the way in which we report financial results.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condensed consolidated financial position, results of operations and cash flows. In addition, as we evolve and change our business and sales models, we are currently unable to determine how these potential changes may impact our new models, particularly in the area of revenue recognition.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successfully challenged by tax authorities.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224"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332" w:lineRule="auto"/>
        <w:rPr>
          <w:sz w:val="20"/>
          <w:szCs w:val="20"/>
          <w:color w:val="auto"/>
        </w:rPr>
      </w:pPr>
      <w:r>
        <w:rPr>
          <w:rFonts w:ascii="Arial" w:cs="Arial" w:eastAsia="Arial" w:hAnsi="Arial"/>
          <w:sz w:val="16"/>
          <w:szCs w:val="16"/>
          <w:color w:val="auto"/>
        </w:rPr>
        <w:t>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4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221" w:lineRule="exact"/>
        <w:rPr>
          <w:sz w:val="20"/>
          <w:szCs w:val="20"/>
          <w:color w:val="auto"/>
        </w:rPr>
      </w:pPr>
    </w:p>
    <w:p>
      <w:pPr>
        <w:ind w:left="240" w:right="440"/>
        <w:spacing w:after="0" w:line="268"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99" w:lineRule="exact"/>
        <w:rPr>
          <w:sz w:val="20"/>
          <w:szCs w:val="20"/>
          <w:color w:val="auto"/>
        </w:rPr>
      </w:pPr>
    </w:p>
    <w:p>
      <w:pPr>
        <w:ind w:left="240" w:right="260"/>
        <w:spacing w:after="0" w:line="259"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certain of our customer services operations as well as some of our operations; any interruption or delay in service from these third parties, breaches of security or privacy, or failures in data collection could expose us to liability, harm our reputation and adversely impact our financial performance.</w:t>
      </w:r>
    </w:p>
    <w:p>
      <w:pPr>
        <w:spacing w:after="0" w:line="5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of customer data. In addition, our operations could be negatively affected in the event of a security breach, and we could be subject to the loss or theft of confidential or proprietary information, including source code.</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Unauthorized access to this data may be obtained through break-ins, breach of our secure network by an unauthorized party, employee theft or misuse, or other misconduct. We rely on a number of third party suppliers in the operation of our business for the provision of various services and materials that we use in the operation of our business and production of our products. Although we seek to diversify our third 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rely on our network and data center infrastructure, internal technology systems and our websites for our development, marketing, operational, support, sales, accounting and financial reporting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sales of unregistered securities during the three months ended October 31, 2011.</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filed as part of this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48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10.1 *</w:t>
            </w:r>
          </w:p>
        </w:tc>
        <w:tc>
          <w:tcPr>
            <w:tcW w:w="4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Relocation Policy Addendum for Mark Hawkins (</w:t>
            </w:r>
            <w:r>
              <w:rPr>
                <w:rFonts w:ascii="Arial" w:cs="Arial" w:eastAsia="Arial" w:hAnsi="Arial"/>
                <w:sz w:val="18"/>
                <w:szCs w:val="18"/>
                <w:i w:val="1"/>
                <w:iCs w:val="1"/>
                <w:color w:val="auto"/>
              </w:rPr>
              <w:t>filed herewith</w:t>
            </w:r>
            <w:r>
              <w:rPr>
                <w:rFonts w:ascii="Arial" w:cs="Arial" w:eastAsia="Arial" w:hAnsi="Arial"/>
                <w:sz w:val="18"/>
                <w:szCs w:val="18"/>
                <w:color w:val="auto"/>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32.1 †</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w w:val="89"/>
              </w:rPr>
              <w:t>Certification of Chief Executive Officer and Chief Financial Officer pursuant to 18 U.S.C. Section 1350, as adopted pursuant to Section 906</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of the Sarbanes-Oxley Act of 2002</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101.INS ††</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101.SCH ††</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101.CAL ††</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101.DEF ††</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XBRL Taxonomy Definition Linkbase</w:t>
            </w:r>
          </w:p>
        </w:tc>
      </w:tr>
      <w:tr>
        <w:trPr>
          <w:trHeight w:val="365"/>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20" w:type="dxa"/>
            <w:vAlign w:val="bottom"/>
          </w:tcPr>
          <w:p>
            <w:pPr>
              <w:ind w:left="4480"/>
              <w:spacing w:after="0"/>
              <w:rPr>
                <w:sz w:val="20"/>
                <w:szCs w:val="20"/>
                <w:color w:val="auto"/>
              </w:rPr>
            </w:pPr>
            <w:r>
              <w:rPr>
                <w:rFonts w:ascii="Arial" w:cs="Arial" w:eastAsia="Arial" w:hAnsi="Arial"/>
                <w:sz w:val="18"/>
                <w:szCs w:val="18"/>
                <w:color w:val="auto"/>
              </w:rPr>
              <w:t>56</w:t>
            </w:r>
          </w:p>
        </w:tc>
        <w:tc>
          <w:tcPr>
            <w:tcW w:w="700" w:type="dxa"/>
            <w:vAlign w:val="bottom"/>
          </w:tcPr>
          <w:p>
            <w:pPr>
              <w:spacing w:after="0"/>
              <w:rPr>
                <w:sz w:val="24"/>
                <w:szCs w:val="24"/>
                <w:color w:val="auto"/>
              </w:rPr>
            </w:pPr>
          </w:p>
        </w:tc>
        <w:tc>
          <w:tcPr>
            <w:tcW w:w="4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60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1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101.LAB ††</w:t>
      </w:r>
      <w:r>
        <w:rPr>
          <w:sz w:val="20"/>
          <w:szCs w:val="20"/>
          <w:color w:val="auto"/>
        </w:rPr>
        <w:tab/>
      </w:r>
      <w:r>
        <w:rPr>
          <w:rFonts w:ascii="Arial" w:cs="Arial" w:eastAsia="Arial" w:hAnsi="Arial"/>
          <w:sz w:val="16"/>
          <w:szCs w:val="16"/>
          <w:color w:val="auto"/>
        </w:rPr>
        <w:t>XBRL Taxonomy Extension Label Linkbase</w:t>
      </w:r>
    </w:p>
    <w:p>
      <w:pPr>
        <w:spacing w:after="0" w:line="1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101.PRE ††</w:t>
      </w:r>
      <w:r>
        <w:rPr>
          <w:sz w:val="20"/>
          <w:szCs w:val="20"/>
          <w:color w:val="auto"/>
        </w:rPr>
        <w:tab/>
      </w:r>
      <w:r>
        <w:rPr>
          <w:rFonts w:ascii="Arial" w:cs="Arial" w:eastAsia="Arial" w:hAnsi="Arial"/>
          <w:sz w:val="16"/>
          <w:szCs w:val="16"/>
          <w:color w:val="auto"/>
        </w:rPr>
        <w:t>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Denotes a management contract or compensatory plan or arrangement.</w:t>
      </w:r>
    </w:p>
    <w:p>
      <w:pPr>
        <w:spacing w:after="0" w:line="15" w:lineRule="exact"/>
        <w:rPr>
          <w:sz w:val="20"/>
          <w:szCs w:val="20"/>
          <w:color w:val="auto"/>
        </w:rPr>
      </w:pPr>
    </w:p>
    <w:p>
      <w:pPr>
        <w:ind w:left="460" w:hanging="452"/>
        <w:spacing w:after="0" w:line="300"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certifications attached as Exhibit 32.1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such filing.</w:t>
      </w:r>
    </w:p>
    <w:p>
      <w:pPr>
        <w:spacing w:after="0" w:line="9" w:lineRule="exact"/>
        <w:rPr>
          <w:sz w:val="20"/>
          <w:szCs w:val="20"/>
          <w:color w:val="auto"/>
        </w:rPr>
      </w:pPr>
    </w:p>
    <w:p>
      <w:pPr>
        <w:jc w:val="right"/>
        <w:ind w:left="5620" w:right="5500" w:hanging="5612"/>
        <w:spacing w:after="0" w:line="517" w:lineRule="auto"/>
        <w:tabs>
          <w:tab w:leader="none" w:pos="44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 57</w:t>
      </w:r>
    </w:p>
    <w:p>
      <w:pPr>
        <w:sectPr>
          <w:pgSz w:w="11900" w:h="16838" w:orient="portrait"/>
          <w:cols w:equalWidth="0" w:num="1">
            <w:col w:w="11320"/>
          </w:cols>
          <w:pgMar w:left="24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6,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AUTODESK,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8020"/>
        <w:spacing w:after="0"/>
        <w:tabs>
          <w:tab w:leader="none" w:pos="8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AMELA</w:t>
      </w:r>
      <w:r>
        <w:rPr>
          <w:rFonts w:ascii="Arial" w:cs="Arial" w:eastAsia="Arial" w:hAnsi="Arial"/>
          <w:sz w:val="16"/>
          <w:szCs w:val="16"/>
          <w:color w:val="auto"/>
        </w:rPr>
        <w:t xml:space="preserve"> J. S</w:t>
      </w:r>
      <w:r>
        <w:rPr>
          <w:rFonts w:ascii="Arial" w:cs="Arial" w:eastAsia="Arial" w:hAnsi="Arial"/>
          <w:sz w:val="13"/>
          <w:szCs w:val="13"/>
          <w:color w:val="auto"/>
        </w:rPr>
        <w:t>TRAYER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Pamela J. Strayer</w:t>
      </w:r>
    </w:p>
    <w:p>
      <w:pPr>
        <w:jc w:val="center"/>
        <w:ind w:left="6860"/>
        <w:spacing w:after="0" w:line="223" w:lineRule="auto"/>
        <w:rPr>
          <w:sz w:val="20"/>
          <w:szCs w:val="20"/>
          <w:color w:val="auto"/>
        </w:rPr>
      </w:pPr>
      <w:r>
        <w:rPr>
          <w:rFonts w:ascii="Arial" w:cs="Arial" w:eastAsia="Arial" w:hAnsi="Arial"/>
          <w:sz w:val="14"/>
          <w:szCs w:val="14"/>
          <w:b w:val="1"/>
          <w:bCs w:val="1"/>
          <w:color w:val="auto"/>
        </w:rPr>
        <w:t>Vice President and Corporate Controller</w:t>
      </w:r>
    </w:p>
    <w:p>
      <w:pPr>
        <w:jc w:val="center"/>
        <w:ind w:left="6860"/>
        <w:spacing w:after="0"/>
        <w:rPr>
          <w:sz w:val="20"/>
          <w:szCs w:val="20"/>
          <w:color w:val="auto"/>
        </w:rPr>
      </w:pPr>
      <w:r>
        <w:rPr>
          <w:rFonts w:ascii="Arial" w:cs="Arial" w:eastAsia="Arial" w:hAnsi="Arial"/>
          <w:sz w:val="14"/>
          <w:szCs w:val="14"/>
          <w:b w:val="1"/>
          <w:bCs w:val="1"/>
          <w:color w:val="auto"/>
        </w:rPr>
        <w:t>(Principal Accounting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8" w:name="page59"/>
    <w:bookmarkEnd w:id="58"/>
    <w:p>
      <w:pPr>
        <w:ind w:left="10520"/>
        <w:spacing w:after="0"/>
        <w:rPr>
          <w:sz w:val="20"/>
          <w:szCs w:val="20"/>
          <w:color w:val="auto"/>
        </w:rPr>
      </w:pPr>
      <w:r>
        <w:rPr>
          <w:rFonts w:ascii="Arial" w:cs="Arial" w:eastAsia="Arial" w:hAnsi="Arial"/>
          <w:sz w:val="16"/>
          <w:szCs w:val="16"/>
          <w:b w:val="1"/>
          <w:bCs w:val="1"/>
          <w:color w:val="auto"/>
        </w:rPr>
        <w:t>Exhibit 10.1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Relocation Policy Addendum for Mark Hawkins</w:t>
      </w:r>
    </w:p>
    <w:p>
      <w:pPr>
        <w:spacing w:after="0" w:line="17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This Relocation Policy Addendum for Mark Hawkins (this “</w:t>
      </w:r>
      <w:r>
        <w:rPr>
          <w:rFonts w:ascii="Arial" w:cs="Arial" w:eastAsia="Arial" w:hAnsi="Arial"/>
          <w:sz w:val="16"/>
          <w:szCs w:val="16"/>
          <w:u w:val="single" w:color="auto"/>
          <w:color w:val="auto"/>
        </w:rPr>
        <w:t>Addendum</w:t>
      </w:r>
      <w:r>
        <w:rPr>
          <w:rFonts w:ascii="Arial" w:cs="Arial" w:eastAsia="Arial" w:hAnsi="Arial"/>
          <w:sz w:val="16"/>
          <w:szCs w:val="16"/>
          <w:color w:val="auto"/>
        </w:rPr>
        <w:t>”) is an addendum to the Autodesk, Inc. North American Relocation Policy, Package A (“</w:t>
      </w:r>
      <w:r>
        <w:rPr>
          <w:rFonts w:ascii="Arial" w:cs="Arial" w:eastAsia="Arial" w:hAnsi="Arial"/>
          <w:sz w:val="16"/>
          <w:szCs w:val="16"/>
          <w:u w:val="single" w:color="auto"/>
          <w:color w:val="auto"/>
        </w:rPr>
        <w:t>Policy</w:t>
      </w:r>
      <w:r>
        <w:rPr>
          <w:rFonts w:ascii="Arial" w:cs="Arial" w:eastAsia="Arial" w:hAnsi="Arial"/>
          <w:sz w:val="16"/>
          <w:szCs w:val="16"/>
          <w:color w:val="auto"/>
        </w:rPr>
        <w:t>”) as it was incorporated into the offer of employment made to Mark Hawkins on or about March 30, 2009 (“</w:t>
      </w:r>
      <w:r>
        <w:rPr>
          <w:rFonts w:ascii="Arial" w:cs="Arial" w:eastAsia="Arial" w:hAnsi="Arial"/>
          <w:sz w:val="16"/>
          <w:szCs w:val="16"/>
          <w:u w:val="single" w:color="auto"/>
          <w:color w:val="auto"/>
        </w:rPr>
        <w:t>Package</w:t>
      </w:r>
      <w:r>
        <w:rPr>
          <w:rFonts w:ascii="Arial" w:cs="Arial" w:eastAsia="Arial" w:hAnsi="Arial"/>
          <w:sz w:val="16"/>
          <w:szCs w:val="16"/>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Section of the Package entitled “</w:t>
      </w:r>
      <w:r>
        <w:rPr>
          <w:rFonts w:ascii="Arial" w:cs="Arial" w:eastAsia="Arial" w:hAnsi="Arial"/>
          <w:sz w:val="16"/>
          <w:szCs w:val="16"/>
          <w:b w:val="1"/>
          <w:bCs w:val="1"/>
          <w:u w:val="single" w:color="auto"/>
          <w:color w:val="auto"/>
        </w:rPr>
        <w:t>Real Estate Expense Assistance for Current Homeowners</w:t>
      </w:r>
      <w:r>
        <w:rPr>
          <w:rFonts w:ascii="Arial" w:cs="Arial" w:eastAsia="Arial" w:hAnsi="Arial"/>
          <w:sz w:val="16"/>
          <w:szCs w:val="16"/>
          <w:color w:val="auto"/>
        </w:rPr>
        <w:t>”, is hereby deleted and replaced with the following: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Real Estate Expense Assistance for Current Homeowners</w:t>
      </w:r>
    </w:p>
    <w:p>
      <w:pPr>
        <w:spacing w:after="0" w:line="9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The following expense assistance described in this Section is subject to the total maximum benefit allowance described in the Section entitled “</w:t>
      </w:r>
      <w:r>
        <w:rPr>
          <w:rFonts w:ascii="Arial" w:cs="Arial" w:eastAsia="Arial" w:hAnsi="Arial"/>
          <w:sz w:val="18"/>
          <w:szCs w:val="18"/>
          <w:b w:val="1"/>
          <w:bCs w:val="1"/>
          <w:u w:val="single" w:color="auto"/>
          <w:color w:val="auto"/>
        </w:rPr>
        <w:t>Calculation and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Duration of Relocation Benefit</w:t>
      </w:r>
      <w:r>
        <w:rPr>
          <w:rFonts w:ascii="Arial" w:cs="Arial" w:eastAsia="Arial" w:hAnsi="Arial"/>
          <w:sz w:val="18"/>
          <w:szCs w:val="18"/>
          <w:color w:val="auto"/>
        </w:rPr>
        <w:t>”, below.</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of Primary Residence – Selling Closing Cost Reimbursement</w:t>
      </w:r>
    </w:p>
    <w:p>
      <w:pPr>
        <w:spacing w:after="0" w:line="90"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Expenses such as real estate commissions, inspections, title and other onetime selling costs will be covered (see Selling Closing Costs, below). However, cleaning, repair costs and buyer’s closing costs will not be included.</w:t>
      </w:r>
    </w:p>
    <w:p>
      <w:pPr>
        <w:spacing w:after="0" w:line="5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To be eligible for this closing cost reimbursement, the property must be your primary residence with clear and marketable title. Large tracts of land, multi-family dwellings, mobile homes and cooperatives are not eligible. The property must be completely constructed and free of Syntheitic Stucco (EIFS), mold, toxic or radon issues.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selling closing costs (“</w:t>
      </w:r>
      <w:r>
        <w:rPr>
          <w:rFonts w:ascii="Arial" w:cs="Arial" w:eastAsia="Arial" w:hAnsi="Arial"/>
          <w:sz w:val="18"/>
          <w:szCs w:val="18"/>
          <w:u w:val="single" w:color="auto"/>
          <w:color w:val="auto"/>
        </w:rPr>
        <w:t>Selling Closing Costs</w:t>
      </w:r>
      <w:r>
        <w:rPr>
          <w:rFonts w:ascii="Arial" w:cs="Arial" w:eastAsia="Arial" w:hAnsi="Arial"/>
          <w:sz w:val="18"/>
          <w:szCs w:val="18"/>
          <w:color w:val="auto"/>
        </w:rPr>
        <w:t>”) are eligible for reimbursement and will be grossed up for taxes:</w:t>
      </w:r>
    </w:p>
    <w:p>
      <w:pPr>
        <w:spacing w:after="0" w:line="90" w:lineRule="exact"/>
        <w:rPr>
          <w:sz w:val="20"/>
          <w:szCs w:val="20"/>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Real Estate Commissions, not to exceed 6% of the purchase price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Fees related to Lender required seller inspections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Escrow Fees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Deed Preparation Fees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Reconveyance Fees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Fees related to Title Endorsements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Wire Transfer Fees</w:t>
      </w:r>
    </w:p>
    <w:p>
      <w:pPr>
        <w:sectPr>
          <w:pgSz w:w="11900" w:h="16838" w:orient="portrait"/>
          <w:cols w:equalWidth="0" w:num="1">
            <w:col w:w="11420"/>
          </w:cols>
          <w:pgMar w:left="240" w:top="125" w:right="239" w:bottom="1440" w:gutter="0" w:footer="0" w:header="0"/>
        </w:sectPr>
      </w:pPr>
    </w:p>
    <w:bookmarkStart w:id="59" w:name="page60"/>
    <w:bookmarkEnd w:id="59"/>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of New Primary Residence – Buying Closing Cost Reimbursement</w:t>
      </w:r>
    </w:p>
    <w:p>
      <w:pPr>
        <w:spacing w:after="0" w:line="90"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Autodesk will reimburse you for certain closing costs (the “</w:t>
      </w:r>
      <w:r>
        <w:rPr>
          <w:rFonts w:ascii="Arial" w:cs="Arial" w:eastAsia="Arial" w:hAnsi="Arial"/>
          <w:sz w:val="18"/>
          <w:szCs w:val="18"/>
          <w:u w:val="single" w:color="auto"/>
          <w:color w:val="auto"/>
        </w:rPr>
        <w:t>Buying Closing Costs</w:t>
      </w:r>
      <w:r>
        <w:rPr>
          <w:rFonts w:ascii="Arial" w:cs="Arial" w:eastAsia="Arial" w:hAnsi="Arial"/>
          <w:sz w:val="18"/>
          <w:szCs w:val="18"/>
          <w:color w:val="auto"/>
        </w:rPr>
        <w:t>”) associated with the purchase of your primary residence. The Buying Closing Costs will be reimbursed after closing.</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Buying Closing Costs are eligible for reimbursement, and will be grossed up for taxes:</w:t>
      </w:r>
    </w:p>
    <w:p>
      <w:pPr>
        <w:spacing w:after="0" w:line="90" w:lineRule="exact"/>
        <w:rPr>
          <w:sz w:val="20"/>
          <w:szCs w:val="20"/>
          <w:color w:val="auto"/>
        </w:rPr>
      </w:pPr>
    </w:p>
    <w:p>
      <w:pPr>
        <w:ind w:left="1480" w:hanging="446"/>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Fees relating to title search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Fees relating to lender required purchaser inspections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Transfer taxes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Title insurance fees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Escrow and Title fees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Appraisal fees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Recording fees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Document preparation fees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Tax service fees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Processing &amp; underwriting fees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Wire transfer and delivery fees</w:t>
      </w:r>
    </w:p>
    <w:p>
      <w:pPr>
        <w:spacing w:after="0" w:line="387" w:lineRule="exact"/>
        <w:rPr>
          <w:sz w:val="20"/>
          <w:szCs w:val="20"/>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Loan origination fees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Loan discount points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Pro-rated interest costs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Pro-rated taxes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Buyer concessions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Repairs or cleaning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Note: A copy of the Final Closing Statement (HUD) from Title Company or closing attorney must be provided with the reimbursement form.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Section of the Package entitled “</w:t>
      </w:r>
      <w:r>
        <w:rPr>
          <w:rFonts w:ascii="Arial" w:cs="Arial" w:eastAsia="Arial" w:hAnsi="Arial"/>
          <w:sz w:val="18"/>
          <w:szCs w:val="18"/>
          <w:b w:val="1"/>
          <w:bCs w:val="1"/>
          <w:u w:val="single" w:color="auto"/>
          <w:color w:val="auto"/>
        </w:rPr>
        <w:t>Moving Household Goods to New Location</w:t>
      </w:r>
      <w:r>
        <w:rPr>
          <w:rFonts w:ascii="Arial" w:cs="Arial" w:eastAsia="Arial" w:hAnsi="Arial"/>
          <w:sz w:val="18"/>
          <w:szCs w:val="18"/>
          <w:color w:val="auto"/>
        </w:rPr>
        <w:t>”, is hereby deleted and replaced with the following:</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u w:val="single" w:color="auto"/>
          <w:color w:val="auto"/>
        </w:rPr>
        <w:t>Moving Household Goods to New Location</w:t>
      </w:r>
    </w:p>
    <w:p>
      <w:pPr>
        <w:spacing w:after="0" w:line="90"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color w:val="auto"/>
        </w:rPr>
        <w:t>The following expense assistance described in this Section is subject to the total maximum benefit allowance described in the Section entitled “</w:t>
      </w:r>
      <w:r>
        <w:rPr>
          <w:rFonts w:ascii="Arial" w:cs="Arial" w:eastAsia="Arial" w:hAnsi="Arial"/>
          <w:sz w:val="18"/>
          <w:szCs w:val="18"/>
          <w:b w:val="1"/>
          <w:bCs w:val="1"/>
          <w:u w:val="single" w:color="auto"/>
          <w:color w:val="auto"/>
        </w:rPr>
        <w:t>Calculation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and Duration of Relocation Benefit</w:t>
      </w:r>
      <w:r>
        <w:rPr>
          <w:rFonts w:ascii="Arial" w:cs="Arial" w:eastAsia="Arial" w:hAnsi="Arial"/>
          <w:sz w:val="18"/>
          <w:szCs w:val="18"/>
          <w:color w:val="auto"/>
        </w:rPr>
        <w:t>”, below.</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0" w:name="page61"/>
    <w:bookmarkEnd w:id="60"/>
    <w:p>
      <w:pPr>
        <w:ind w:left="920"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pay the costs of the following with regard to the shipment of household goods, subject to the details stated below: packing and unpacking, loading and unloading, shipping, insurance and 30 days storage of goods.”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Sections of the Package entitled “</w:t>
      </w:r>
      <w:r>
        <w:rPr>
          <w:rFonts w:ascii="Arial" w:cs="Arial" w:eastAsia="Arial" w:hAnsi="Arial"/>
          <w:sz w:val="16"/>
          <w:szCs w:val="16"/>
          <w:b w:val="1"/>
          <w:bCs w:val="1"/>
          <w:u w:val="single" w:color="auto"/>
          <w:color w:val="auto"/>
        </w:rPr>
        <w:t>Temporary Housing</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Rental Expense Reimbursement</w:t>
      </w:r>
      <w:r>
        <w:rPr>
          <w:rFonts w:ascii="Arial" w:cs="Arial" w:eastAsia="Arial" w:hAnsi="Arial"/>
          <w:sz w:val="16"/>
          <w:szCs w:val="16"/>
          <w:color w:val="auto"/>
        </w:rPr>
        <w:t>” are hereby deleted and replaced with the following:</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Temporary Housing and Living Expenses</w:t>
      </w:r>
    </w:p>
    <w:p>
      <w:pPr>
        <w:spacing w:after="0" w:line="90"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color w:val="auto"/>
        </w:rPr>
        <w:t>The following expense assistance described in this Section is subject to the total maximum benefit allowance described in the Section entitled “</w:t>
      </w:r>
      <w:r>
        <w:rPr>
          <w:rFonts w:ascii="Arial" w:cs="Arial" w:eastAsia="Arial" w:hAnsi="Arial"/>
          <w:sz w:val="18"/>
          <w:szCs w:val="18"/>
          <w:b w:val="1"/>
          <w:bCs w:val="1"/>
          <w:u w:val="single" w:color="auto"/>
          <w:color w:val="auto"/>
        </w:rPr>
        <w:t>Calculation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and Duration of Relocation Benefit</w:t>
      </w:r>
      <w:r>
        <w:rPr>
          <w:rFonts w:ascii="Arial" w:cs="Arial" w:eastAsia="Arial" w:hAnsi="Arial"/>
          <w:sz w:val="18"/>
          <w:szCs w:val="18"/>
          <w:color w:val="auto"/>
        </w:rPr>
        <w:t>”, below.</w:t>
      </w:r>
    </w:p>
    <w:p>
      <w:pPr>
        <w:spacing w:after="0" w:line="45"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The Company will pay all expenses relating to the provision of a fully furnished apartment located in Larkspur, California or at another location near the San Rafael, CA office. In addition, the Company will provide a per diem meal benefit for the days that Mr. Hawkins resides in the fully furnished apartment.”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Section of the Package entitled “</w:t>
      </w:r>
      <w:r>
        <w:rPr>
          <w:rFonts w:ascii="Arial" w:cs="Arial" w:eastAsia="Arial" w:hAnsi="Arial"/>
          <w:sz w:val="18"/>
          <w:szCs w:val="18"/>
          <w:b w:val="1"/>
          <w:bCs w:val="1"/>
          <w:u w:val="single" w:color="auto"/>
          <w:color w:val="auto"/>
        </w:rPr>
        <w:t>Reimbursement of Relocation Benefits</w:t>
      </w:r>
      <w:r>
        <w:rPr>
          <w:rFonts w:ascii="Arial" w:cs="Arial" w:eastAsia="Arial" w:hAnsi="Arial"/>
          <w:sz w:val="18"/>
          <w:szCs w:val="18"/>
          <w:color w:val="auto"/>
        </w:rPr>
        <w:t>”, is hereby deleted and replaced with the following:</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Reimbursement of Relocation Benefits</w:t>
      </w:r>
    </w:p>
    <w:p>
      <w:pPr>
        <w:spacing w:after="0" w:line="96" w:lineRule="exact"/>
        <w:rPr>
          <w:sz w:val="20"/>
          <w:szCs w:val="20"/>
          <w:color w:val="auto"/>
        </w:rPr>
      </w:pPr>
    </w:p>
    <w:p>
      <w:pPr>
        <w:ind w:left="460" w:right="180"/>
        <w:spacing w:after="0" w:line="298" w:lineRule="auto"/>
        <w:rPr>
          <w:sz w:val="20"/>
          <w:szCs w:val="20"/>
          <w:color w:val="auto"/>
        </w:rPr>
      </w:pPr>
      <w:r>
        <w:rPr>
          <w:rFonts w:ascii="Arial" w:cs="Arial" w:eastAsia="Arial" w:hAnsi="Arial"/>
          <w:sz w:val="16"/>
          <w:szCs w:val="16"/>
          <w:color w:val="auto"/>
        </w:rPr>
        <w:t>The relocation benefits paid pursuant to this Addendum (“</w:t>
      </w:r>
      <w:r>
        <w:rPr>
          <w:rFonts w:ascii="Arial" w:cs="Arial" w:eastAsia="Arial" w:hAnsi="Arial"/>
          <w:sz w:val="16"/>
          <w:szCs w:val="16"/>
          <w:u w:val="single" w:color="auto"/>
          <w:color w:val="auto"/>
        </w:rPr>
        <w:t>Total Relocation Benefits</w:t>
      </w:r>
      <w:r>
        <w:rPr>
          <w:rFonts w:ascii="Arial" w:cs="Arial" w:eastAsia="Arial" w:hAnsi="Arial"/>
          <w:sz w:val="16"/>
          <w:szCs w:val="16"/>
          <w:color w:val="auto"/>
        </w:rPr>
        <w:t>”) must be reimbursed to Autodesk under the calculation provided below where (1) you voluntarily terminate your employment with Autodesk within twenty-four (24) months from August 1, 2011 or (2) Autodesk terminates your employment with the Company for Cause within twenty-four (24) months from August 1, 2011. “</w:t>
      </w:r>
      <w:r>
        <w:rPr>
          <w:rFonts w:ascii="Arial" w:cs="Arial" w:eastAsia="Arial" w:hAnsi="Arial"/>
          <w:sz w:val="16"/>
          <w:szCs w:val="16"/>
          <w:u w:val="single" w:color="auto"/>
          <w:color w:val="auto"/>
        </w:rPr>
        <w:t>Cause</w:t>
      </w:r>
      <w:r>
        <w:rPr>
          <w:rFonts w:ascii="Arial" w:cs="Arial" w:eastAsia="Arial" w:hAnsi="Arial"/>
          <w:sz w:val="16"/>
          <w:szCs w:val="16"/>
          <w:color w:val="auto"/>
        </w:rPr>
        <w:t>” is determined at the Company’s sole discretion and reasons may include, but are not limited to, your violation of Company policy or failure to perform your job duties.</w:t>
      </w:r>
    </w:p>
    <w:p>
      <w:pPr>
        <w:spacing w:after="0" w:line="32"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If reimbursement of Total Relocation Benefits is required, the amount of the reimbursement will be determined based on the percentage of the number of months you worked for the Company from August 1, 2011 divided by twenty-four (24) months. For purposes of this calculation, if you worked one day of a month, that month is considered worked for purposes of this calculation. For example, if you worked six months, you would have to reimburse the Company for 75% of Total Relocation Benefits paid to you. Your payment is due within ten calendar days of your termination. You agree, by accepting these benefits, you will reimburse them pursuant to this provision.”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sections are hereby added to the Package:</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Assistance</w:t>
      </w:r>
    </w:p>
    <w:p>
      <w:pPr>
        <w:spacing w:after="0" w:line="96" w:lineRule="exact"/>
        <w:rPr>
          <w:sz w:val="20"/>
          <w:szCs w:val="20"/>
          <w:color w:val="auto"/>
        </w:rPr>
      </w:pPr>
    </w:p>
    <w:p>
      <w:pPr>
        <w:jc w:val="both"/>
        <w:ind w:left="460" w:right="160"/>
        <w:spacing w:after="0" w:line="259" w:lineRule="auto"/>
        <w:rPr>
          <w:sz w:val="20"/>
          <w:szCs w:val="20"/>
          <w:color w:val="auto"/>
        </w:rPr>
      </w:pPr>
      <w:r>
        <w:rPr>
          <w:rFonts w:ascii="Arial" w:cs="Arial" w:eastAsia="Arial" w:hAnsi="Arial"/>
          <w:sz w:val="18"/>
          <w:szCs w:val="18"/>
          <w:color w:val="auto"/>
        </w:rPr>
        <w:t>Most of the relocation expenses are considered taxable income to the employee. Autodesk will assist with that tax liability (referred to as a “grossed up”). Using the marginal tax rate that applies based on your expected Autodesk income, the Company will “gross up” any non-deductable, approved relocation expenses that would otherwise be considered W-2 income.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Calculation and Duration of Relocation Benefit</w:t>
      </w:r>
    </w:p>
    <w:p>
      <w:pPr>
        <w:spacing w:after="0" w:line="96"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As of August 1, 2011, the Company estimates the value of the Total Relocation Benefit to be approximately $200,000. This estimate is based upon current market conditions, the estimated value of your primary residence, estimated Selling Closing Costs, estimated Buying Closing Costs, estimated Moving Household Goods to New Location costs, and the estimated Tax Assistance related to applicable costs.</w:t>
      </w:r>
    </w:p>
    <w:p>
      <w:pPr>
        <w:spacing w:after="0" w:line="26" w:lineRule="exact"/>
        <w:rPr>
          <w:sz w:val="20"/>
          <w:szCs w:val="20"/>
          <w:color w:val="auto"/>
        </w:rPr>
      </w:pPr>
    </w:p>
    <w:p>
      <w:pPr>
        <w:ind w:left="460" w:right="120"/>
        <w:spacing w:after="0" w:line="314" w:lineRule="auto"/>
        <w:rPr>
          <w:sz w:val="20"/>
          <w:szCs w:val="20"/>
          <w:color w:val="auto"/>
        </w:rPr>
      </w:pPr>
      <w:r>
        <w:rPr>
          <w:rFonts w:ascii="Arial" w:cs="Arial" w:eastAsia="Arial" w:hAnsi="Arial"/>
          <w:sz w:val="15"/>
          <w:szCs w:val="15"/>
          <w:color w:val="auto"/>
        </w:rPr>
        <w:t>In the event that you sell your primary residence and purchases a new primary residence, you will be able to recover the costs associated with the Selling Closing Costs, the Buying Closing Costs, the costs associated with Moving Household Goods to New Location and the related Tax Assistance subject to a maximum amount calculated by $200,000 less amounts actually paid to you for Temporary Housing and Living Expenses, and associated Tax Assistance. For example, if by January 2012, you have incurred $50,000 related to Temporary Housing and Living Expenses plus applicable Tax Assistance, and you sell your primary residence and purchases a new primary residence, the Total Relocation Benefit available for reimbursement of actual Selling Closing Costs, actual Buying Closing Costs, actual Moving Household Goods to New Location, plus related Tax Assistance costs shall not exceed $150,000.</w:t>
      </w:r>
    </w:p>
    <w:p>
      <w:pPr>
        <w:spacing w:after="0" w:line="24" w:lineRule="exact"/>
        <w:rPr>
          <w:sz w:val="20"/>
          <w:szCs w:val="20"/>
          <w:color w:val="auto"/>
        </w:rPr>
      </w:pPr>
    </w:p>
    <w:p>
      <w:pPr>
        <w:ind w:left="460" w:right="420"/>
        <w:spacing w:after="0" w:line="306" w:lineRule="auto"/>
        <w:rPr>
          <w:sz w:val="20"/>
          <w:szCs w:val="20"/>
          <w:color w:val="auto"/>
        </w:rPr>
      </w:pPr>
      <w:r>
        <w:rPr>
          <w:rFonts w:ascii="Arial" w:cs="Arial" w:eastAsia="Arial" w:hAnsi="Arial"/>
          <w:sz w:val="16"/>
          <w:szCs w:val="16"/>
          <w:color w:val="auto"/>
        </w:rPr>
        <w:t>You may continue to receive Temporary Housing and Living Expenses and the associated Tax Assistance, until such time as the balance of the Total Relocation Benefit has been extinguished or until your employment relationship with Autodesk ends, whichever occurs first. If there is any remaining balance of the Total Relocation Benefit at the time the employment relationship ends, any unused amounts shall be retained by Autodesk.”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Except as modified by this Addendum, the terms and conditions of the Policy and the Package remain in full force and effect.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tc>
        <w:tc>
          <w:tcPr>
            <w:tcW w:w="4000" w:type="dxa"/>
            <w:vAlign w:val="bottom"/>
          </w:tcPr>
          <w:p>
            <w:pPr>
              <w:spacing w:after="0"/>
              <w:rPr>
                <w:sz w:val="19"/>
                <w:szCs w:val="19"/>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AN</w:t>
            </w:r>
            <w:r>
              <w:rPr>
                <w:rFonts w:ascii="Arial" w:cs="Arial" w:eastAsia="Arial" w:hAnsi="Arial"/>
                <w:sz w:val="18"/>
                <w:szCs w:val="18"/>
                <w:color w:val="auto"/>
              </w:rPr>
              <w:t xml:space="preserve"> B</w:t>
            </w:r>
            <w:r>
              <w:rPr>
                <w:rFonts w:ascii="Arial" w:cs="Arial" w:eastAsia="Arial" w:hAnsi="Arial"/>
                <w:sz w:val="14"/>
                <w:szCs w:val="14"/>
                <w:color w:val="auto"/>
              </w:rPr>
              <w:t>ECKER</w:t>
            </w: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Mark Hawkins</w:t>
            </w:r>
          </w:p>
        </w:tc>
        <w:tc>
          <w:tcPr>
            <w:tcW w:w="40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Jan Becker, SVP Human Resources</w:t>
            </w:r>
          </w:p>
        </w:tc>
      </w:tr>
      <w:tr>
        <w:trPr>
          <w:trHeight w:val="433"/>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September 21, 2011</w:t>
            </w:r>
          </w:p>
        </w:tc>
        <w:tc>
          <w:tcPr>
            <w:tcW w:w="4000" w:type="dxa"/>
            <w:vAlign w:val="bottom"/>
          </w:tcPr>
          <w:p>
            <w:pPr>
              <w:spacing w:after="0"/>
              <w:rPr>
                <w:sz w:val="24"/>
                <w:szCs w:val="24"/>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September 21, 2011</w:t>
            </w: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Date</w:t>
            </w:r>
          </w:p>
        </w:tc>
      </w:tr>
      <w:tr>
        <w:trPr>
          <w:trHeight w:val="365"/>
        </w:trPr>
        <w:tc>
          <w:tcPr>
            <w:tcW w:w="3660" w:type="dxa"/>
            <w:vAlign w:val="bottom"/>
          </w:tcPr>
          <w:p>
            <w:pPr>
              <w:spacing w:after="0"/>
              <w:rPr>
                <w:sz w:val="24"/>
                <w:szCs w:val="24"/>
                <w:color w:val="auto"/>
              </w:rPr>
            </w:pPr>
          </w:p>
        </w:tc>
        <w:tc>
          <w:tcPr>
            <w:tcW w:w="4000" w:type="dxa"/>
            <w:vAlign w:val="bottom"/>
          </w:tcPr>
          <w:p>
            <w:pPr>
              <w:jc w:val="right"/>
              <w:ind w:right="1812"/>
              <w:spacing w:after="0"/>
              <w:rPr>
                <w:sz w:val="20"/>
                <w:szCs w:val="20"/>
                <w:color w:val="auto"/>
              </w:rPr>
            </w:pPr>
            <w:r>
              <w:rPr>
                <w:rFonts w:ascii="Arial" w:cs="Arial" w:eastAsia="Arial" w:hAnsi="Arial"/>
                <w:sz w:val="18"/>
                <w:szCs w:val="18"/>
                <w:color w:val="auto"/>
              </w:rPr>
              <w:t>4</w:t>
            </w:r>
          </w:p>
        </w:tc>
        <w:tc>
          <w:tcPr>
            <w:tcW w:w="37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9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2011</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9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6, 2011</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October 31, 2011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6, 2011</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Based on my knowledge, I, Mark J. Hawkins, certify, pursuant to 18 U.S.C. Section 1350, as adopted pursuant to Section 906 of the Sarbanes-Oxley Act of 2002, that the Quarterly Report of Autodesk, Inc. on Form 10-Q for the quarterly period ended October 31, 2011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6, 2011</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1."/>
      <w:numFmt w:val="decimal"/>
      <w:start w:val="3"/>
    </w:lvl>
  </w:abstractNum>
  <w:abstractNum w:abstractNumId="5">
    <w:nsid w:val="8EDBDAB"/>
    <w:multiLevelType w:val="hybridMultilevel"/>
    <w:lvl w:ilvl="0">
      <w:lvlJc w:val="left"/>
      <w:lvlText w:val="%1."/>
      <w:numFmt w:val="decimal"/>
      <w:start w:val="4"/>
    </w:lvl>
  </w:abstractNum>
  <w:abstractNum w:abstractNumId="6">
    <w:nsid w:val="79838CB2"/>
    <w:multiLevelType w:val="hybridMultilevel"/>
    <w:lvl w:ilvl="0">
      <w:lvlJc w:val="left"/>
      <w:lvlText w:val="%1."/>
      <w:numFmt w:val="decimal"/>
      <w:start w:val="5"/>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6"/>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7"/>
    </w:lvl>
  </w:abstractNum>
  <w:abstractNum w:abstractNumId="13">
    <w:nsid w:val="836C40E"/>
    <w:multiLevelType w:val="hybridMultilevel"/>
    <w:lvl w:ilvl="0">
      <w:lvlJc w:val="left"/>
      <w:lvlText w:val="%1."/>
      <w:numFmt w:val="decimal"/>
      <w:start w:val="8"/>
    </w:lvl>
  </w:abstractNum>
  <w:abstractNum w:abstractNumId="14">
    <w:nsid w:val="2901D82"/>
    <w:multiLevelType w:val="hybridMultilevel"/>
    <w:lvl w:ilvl="0">
      <w:lvlJc w:val="left"/>
      <w:lvlText w:val="%1."/>
      <w:numFmt w:val="decimal"/>
      <w:start w:val="9"/>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0"/>
    </w:lvl>
  </w:abstractNum>
  <w:abstractNum w:abstractNumId="17">
    <w:nsid w:val="1E7FF521"/>
    <w:multiLevelType w:val="hybridMultilevel"/>
    <w:lvl w:ilvl="0">
      <w:lvlJc w:val="left"/>
      <w:lvlText w:val="%1."/>
      <w:numFmt w:val="decimal"/>
      <w:start w:val="11"/>
    </w:lvl>
  </w:abstractNum>
  <w:abstractNum w:abstractNumId="18">
    <w:nsid w:val="7C3DBD3D"/>
    <w:multiLevelType w:val="hybridMultilevel"/>
    <w:lvl w:ilvl="0">
      <w:lvlJc w:val="left"/>
      <w:lvlText w:val="%1."/>
      <w:numFmt w:val="decimal"/>
      <w:start w:val="12"/>
    </w:lvl>
  </w:abstractNum>
  <w:abstractNum w:abstractNumId="19">
    <w:nsid w:val="737B8DDC"/>
    <w:multiLevelType w:val="hybridMultilevel"/>
    <w:lvl w:ilvl="0">
      <w:lvlJc w:val="left"/>
      <w:lvlText w:val="%1."/>
      <w:numFmt w:val="decimal"/>
      <w:start w:val="13"/>
    </w:lvl>
  </w:abstractNum>
  <w:abstractNum w:abstractNumId="20">
    <w:nsid w:val="6CEAF087"/>
    <w:multiLevelType w:val="hybridMultilevel"/>
    <w:lvl w:ilvl="0">
      <w:lvlJc w:val="left"/>
      <w:lvlText w:val="%1."/>
      <w:numFmt w:val="decimal"/>
      <w:start w:val="14"/>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5"/>
    </w:lvl>
  </w:abstractNum>
  <w:abstractNum w:abstractNumId="23">
    <w:nsid w:val="3006C83E"/>
    <w:multiLevelType w:val="hybridMultilevel"/>
    <w:lvl w:ilvl="0">
      <w:lvlJc w:val="left"/>
      <w:lvlText w:val="%1."/>
      <w:numFmt w:val="decimal"/>
      <w:start w:val="16"/>
    </w:lvl>
  </w:abstractNum>
  <w:abstractNum w:abstractNumId="24">
    <w:nsid w:val="614FD4A1"/>
    <w:multiLevelType w:val="hybridMultilevel"/>
    <w:lvl w:ilvl="0">
      <w:lvlJc w:val="left"/>
      <w:lvlText w:val="%1."/>
      <w:numFmt w:val="decimal"/>
      <w:start w:val="17"/>
    </w:lvl>
  </w:abstractNum>
  <w:abstractNum w:abstractNumId="25">
    <w:nsid w:val="419AC241"/>
    <w:multiLevelType w:val="hybridMultilevel"/>
    <w:lvl w:ilvl="0">
      <w:lvlJc w:val="left"/>
      <w:lvlText w:val="%1."/>
      <w:numFmt w:val="decimal"/>
      <w:start w:val="18"/>
    </w:lvl>
  </w:abstractNum>
  <w:abstractNum w:abstractNumId="26">
    <w:nsid w:val="5577F8E1"/>
    <w:multiLevelType w:val="hybridMultilevel"/>
    <w:lvl w:ilvl="0">
      <w:lvlJc w:val="left"/>
      <w:lvlText w:val="%1."/>
      <w:numFmt w:val="decimal"/>
      <w:start w:val="19"/>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2019-12-10T06:47:27Z</dcterms:created>
  <dcterms:modified xsi:type="dcterms:W3CDTF">2019-12-10T06:47:27Z</dcterms:modified>
</cp:coreProperties>
</file>