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right="120" w:hanging="685"/>
        <w:spacing w:after="0" w:line="249"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quarterly period ended July 31, 2019</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520"/>
        </w:trPr>
        <w:tc>
          <w:tcPr>
            <w:tcW w:w="2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20" w:type="dxa"/>
            <w:vAlign w:val="bottom"/>
            <w:gridSpan w:val="3"/>
          </w:tcPr>
          <w:p>
            <w:pPr>
              <w:jc w:val="center"/>
              <w:ind w:right="2820"/>
              <w:spacing w:after="0"/>
              <w:rPr>
                <w:sz w:val="20"/>
                <w:szCs w:val="20"/>
                <w:color w:val="auto"/>
              </w:rPr>
            </w:pPr>
            <w:r>
              <w:rPr>
                <w:rFonts w:ascii="Arial" w:cs="Arial" w:eastAsia="Arial" w:hAnsi="Arial"/>
                <w:sz w:val="43"/>
                <w:szCs w:val="43"/>
                <w:b w:val="1"/>
                <w:bCs w:val="1"/>
                <w:color w:val="auto"/>
              </w:rPr>
              <w:t>AUTODESK, INC.</w:t>
            </w:r>
          </w:p>
        </w:tc>
      </w:tr>
      <w:tr>
        <w:trPr>
          <w:trHeight w:val="186"/>
        </w:trPr>
        <w:tc>
          <w:tcPr>
            <w:tcW w:w="2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720" w:type="dxa"/>
            <w:vAlign w:val="bottom"/>
            <w:gridSpan w:val="3"/>
          </w:tcPr>
          <w:p>
            <w:pPr>
              <w:jc w:val="center"/>
              <w:ind w:right="28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377"/>
        </w:trPr>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0" w:type="dxa"/>
            <w:vAlign w:val="bottom"/>
            <w:gridSpan w:val="2"/>
          </w:tcPr>
          <w:p>
            <w:pPr>
              <w:jc w:val="right"/>
              <w:ind w:right="2380"/>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80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1"/>
              </w:rPr>
              <w:t>111 McInnis Parkway,</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70"/>
        </w:trPr>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0"/>
              </w:rPr>
              <w:t>San Rafael,</w:t>
            </w: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California</w:t>
            </w:r>
          </w:p>
        </w:tc>
        <w:tc>
          <w:tcPr>
            <w:tcW w:w="29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94903</w:t>
            </w:r>
          </w:p>
        </w:tc>
        <w:tc>
          <w:tcPr>
            <w:tcW w:w="2540" w:type="dxa"/>
            <w:vAlign w:val="bottom"/>
          </w:tcPr>
          <w:p>
            <w:pPr>
              <w:spacing w:after="0"/>
              <w:rPr>
                <w:sz w:val="23"/>
                <w:szCs w:val="23"/>
                <w:color w:val="auto"/>
              </w:rPr>
            </w:pPr>
          </w:p>
        </w:tc>
      </w:tr>
      <w:tr>
        <w:trPr>
          <w:trHeight w:val="218"/>
        </w:trPr>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80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20" w:type="dxa"/>
            <w:vAlign w:val="bottom"/>
          </w:tcPr>
          <w:p>
            <w:pPr>
              <w:jc w:val="center"/>
              <w:ind w:left="895"/>
              <w:spacing w:after="0"/>
              <w:rPr>
                <w:sz w:val="20"/>
                <w:szCs w:val="20"/>
                <w:color w:val="auto"/>
              </w:rPr>
            </w:pPr>
            <w:r>
              <w:rPr>
                <w:rFonts w:ascii="Arial" w:cs="Arial" w:eastAsia="Arial" w:hAnsi="Arial"/>
                <w:sz w:val="18"/>
                <w:szCs w:val="18"/>
                <w:b w:val="1"/>
                <w:bCs w:val="1"/>
                <w:color w:val="auto"/>
                <w:w w:val="90"/>
              </w:rPr>
              <w:t>(415) 507-5000</w:t>
            </w:r>
          </w:p>
        </w:tc>
        <w:tc>
          <w:tcPr>
            <w:tcW w:w="126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186"/>
        </w:trPr>
        <w:tc>
          <w:tcPr>
            <w:tcW w:w="2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720" w:type="dxa"/>
            <w:vAlign w:val="bottom"/>
            <w:gridSpan w:val="3"/>
          </w:tcPr>
          <w:p>
            <w:pPr>
              <w:jc w:val="center"/>
              <w:ind w:right="28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5"/>
        </w:trPr>
        <w:tc>
          <w:tcPr>
            <w:tcW w:w="3500" w:type="dxa"/>
            <w:vAlign w:val="bottom"/>
            <w:gridSpan w:val="2"/>
          </w:tcPr>
          <w:p>
            <w:pPr>
              <w:spacing w:after="0"/>
              <w:rPr>
                <w:sz w:val="22"/>
                <w:szCs w:val="22"/>
                <w:color w:val="auto"/>
              </w:rPr>
            </w:pPr>
          </w:p>
        </w:tc>
        <w:tc>
          <w:tcPr>
            <w:tcW w:w="3180" w:type="dxa"/>
            <w:vAlign w:val="bottom"/>
            <w:tcBorders>
              <w:bottom w:val="single" w:sz="8" w:color="auto"/>
            </w:tcBorders>
            <w:gridSpan w:val="2"/>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540" w:type="dxa"/>
            <w:vAlign w:val="bottom"/>
          </w:tcPr>
          <w:p>
            <w:pPr>
              <w:spacing w:after="0"/>
              <w:rPr>
                <w:sz w:val="22"/>
                <w:szCs w:val="22"/>
                <w:color w:val="auto"/>
              </w:rPr>
            </w:pPr>
          </w:p>
        </w:tc>
      </w:tr>
      <w:tr>
        <w:trPr>
          <w:trHeight w:val="426"/>
        </w:trPr>
        <w:tc>
          <w:tcPr>
            <w:tcW w:w="6680" w:type="dxa"/>
            <w:vAlign w:val="bottom"/>
            <w:gridSpan w:val="4"/>
          </w:tcPr>
          <w:p>
            <w:pPr>
              <w:jc w:val="center"/>
              <w:ind w:right="2415"/>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78"/>
        </w:trPr>
        <w:tc>
          <w:tcPr>
            <w:tcW w:w="3760" w:type="dxa"/>
            <w:vAlign w:val="bottom"/>
            <w:gridSpan w:val="3"/>
          </w:tcPr>
          <w:p>
            <w:pPr>
              <w:jc w:val="center"/>
              <w:ind w:left="296"/>
              <w:spacing w:after="0"/>
              <w:rPr>
                <w:sz w:val="20"/>
                <w:szCs w:val="20"/>
                <w:color w:val="auto"/>
              </w:rPr>
            </w:pPr>
            <w:r>
              <w:rPr>
                <w:rFonts w:ascii="Arial" w:cs="Arial" w:eastAsia="Arial" w:hAnsi="Arial"/>
                <w:sz w:val="18"/>
                <w:szCs w:val="18"/>
                <w:b w:val="1"/>
                <w:bCs w:val="1"/>
                <w:color w:val="auto"/>
                <w:w w:val="86"/>
              </w:rPr>
              <w:t>Title of each class</w:t>
            </w:r>
          </w:p>
        </w:tc>
        <w:tc>
          <w:tcPr>
            <w:tcW w:w="2920" w:type="dxa"/>
            <w:vAlign w:val="bottom"/>
          </w:tcPr>
          <w:p>
            <w:pPr>
              <w:jc w:val="center"/>
              <w:ind w:right="15"/>
              <w:spacing w:after="0"/>
              <w:rPr>
                <w:sz w:val="20"/>
                <w:szCs w:val="20"/>
                <w:color w:val="auto"/>
              </w:rPr>
            </w:pPr>
            <w:r>
              <w:rPr>
                <w:rFonts w:ascii="Arial" w:cs="Arial" w:eastAsia="Arial" w:hAnsi="Arial"/>
                <w:sz w:val="18"/>
                <w:szCs w:val="18"/>
                <w:b w:val="1"/>
                <w:bCs w:val="1"/>
                <w:color w:val="auto"/>
                <w:w w:val="91"/>
              </w:rPr>
              <w:t>Trading Symbol(s)</w:t>
            </w:r>
          </w:p>
        </w:tc>
        <w:tc>
          <w:tcPr>
            <w:tcW w:w="3800" w:type="dxa"/>
            <w:vAlign w:val="bottom"/>
            <w:gridSpan w:val="2"/>
          </w:tcPr>
          <w:p>
            <w:pPr>
              <w:jc w:val="center"/>
              <w:ind w:left="358"/>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0"/>
        </w:trPr>
        <w:tc>
          <w:tcPr>
            <w:tcW w:w="3760" w:type="dxa"/>
            <w:vAlign w:val="bottom"/>
            <w:gridSpan w:val="3"/>
          </w:tcPr>
          <w:p>
            <w:pPr>
              <w:jc w:val="center"/>
              <w:ind w:left="296"/>
              <w:spacing w:after="0"/>
              <w:rPr>
                <w:sz w:val="20"/>
                <w:szCs w:val="20"/>
                <w:color w:val="auto"/>
              </w:rPr>
            </w:pPr>
            <w:r>
              <w:rPr>
                <w:rFonts w:ascii="Arial" w:cs="Arial" w:eastAsia="Arial" w:hAnsi="Arial"/>
                <w:sz w:val="18"/>
                <w:szCs w:val="18"/>
                <w:color w:val="auto"/>
                <w:w w:val="89"/>
              </w:rPr>
              <w:t>Common Stock, par value $0.01 per share</w:t>
            </w:r>
          </w:p>
        </w:tc>
        <w:tc>
          <w:tcPr>
            <w:tcW w:w="2920" w:type="dxa"/>
            <w:vAlign w:val="bottom"/>
          </w:tcPr>
          <w:p>
            <w:pPr>
              <w:jc w:val="center"/>
              <w:ind w:right="15"/>
              <w:spacing w:after="0"/>
              <w:rPr>
                <w:sz w:val="20"/>
                <w:szCs w:val="20"/>
                <w:color w:val="auto"/>
              </w:rPr>
            </w:pPr>
            <w:r>
              <w:rPr>
                <w:rFonts w:ascii="Arial" w:cs="Arial" w:eastAsia="Arial" w:hAnsi="Arial"/>
                <w:sz w:val="18"/>
                <w:szCs w:val="18"/>
                <w:color w:val="auto"/>
                <w:w w:val="97"/>
              </w:rPr>
              <w:t>ADSK</w:t>
            </w:r>
          </w:p>
        </w:tc>
        <w:tc>
          <w:tcPr>
            <w:tcW w:w="3800" w:type="dxa"/>
            <w:vAlign w:val="bottom"/>
            <w:gridSpan w:val="2"/>
          </w:tcPr>
          <w:p>
            <w:pPr>
              <w:jc w:val="center"/>
              <w:ind w:left="358"/>
              <w:spacing w:after="0"/>
              <w:rPr>
                <w:sz w:val="20"/>
                <w:szCs w:val="20"/>
                <w:color w:val="auto"/>
              </w:rPr>
            </w:pPr>
            <w:r>
              <w:rPr>
                <w:rFonts w:ascii="Arial" w:cs="Arial" w:eastAsia="Arial" w:hAnsi="Arial"/>
                <w:sz w:val="18"/>
                <w:szCs w:val="18"/>
                <w:color w:val="auto"/>
                <w:w w:val="90"/>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-2606675</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9"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432"/>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1192" w:right="27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9"/>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0"/>
          <w:szCs w:val="20"/>
          <w:color w:val="auto"/>
        </w:rPr>
      </w:pPr>
    </w:p>
    <w:p>
      <w:pPr>
        <w:ind w:right="120" w:firstLine="432"/>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ind w:left="440" w:right="164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29, 2019, registrant had outstanding 219,587,608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714" w:right="37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80" w:type="dxa"/>
            <w:vAlign w:val="bottom"/>
            <w:tcBorders>
              <w:bottom w:val="single" w:sz="8" w:color="0000FF"/>
            </w:tcBorders>
            <w:gridSpan w:val="6"/>
          </w:tcPr>
          <w:p>
            <w:pPr>
              <w:jc w:val="center"/>
              <w:spacing w:after="0" w:line="189"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296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0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July 31, 2019 and 2018</w:t>
              </w:r>
            </w:hyperlink>
          </w:p>
        </w:tc>
        <w:tc>
          <w:tcPr>
            <w:tcW w:w="92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78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 Six Months Ended July 31, 2019</w:t>
              </w:r>
            </w:hyperlink>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2018</w:t>
              </w:r>
            </w:hyperlink>
          </w:p>
        </w:tc>
        <w:tc>
          <w:tcPr>
            <w:tcW w:w="8320" w:type="dxa"/>
            <w:vAlign w:val="bottom"/>
            <w:gridSpan w:val="20"/>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17"/>
                <w:szCs w:val="17"/>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as of July 31, 2019 and January 31, 2019</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July 31, 2019 and 2018</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372"/>
        </w:trPr>
        <w:tc>
          <w:tcPr>
            <w:tcW w:w="920" w:type="dxa"/>
            <w:vAlign w:val="bottom"/>
          </w:tcPr>
          <w:p>
            <w:pPr>
              <w:spacing w:after="0"/>
              <w:rPr>
                <w:sz w:val="24"/>
                <w:szCs w:val="24"/>
                <w:color w:val="auto"/>
              </w:rPr>
            </w:pPr>
          </w:p>
        </w:tc>
        <w:tc>
          <w:tcPr>
            <w:tcW w:w="7340" w:type="dxa"/>
            <w:vAlign w:val="bottom"/>
            <w:tcBorders>
              <w:top w:val="single" w:sz="8" w:color="0000EE"/>
            </w:tcBorders>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6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2"/>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8"/>
          </w:tcPr>
          <w:p>
            <w:pPr>
              <w:spacing w:after="0"/>
              <w:rPr>
                <w:rFonts w:ascii="Arial" w:cs="Arial" w:eastAsia="Arial" w:hAnsi="Arial"/>
                <w:sz w:val="18"/>
                <w:szCs w:val="18"/>
                <w:b w:val="1"/>
                <w:bCs w:val="1"/>
                <w:color w:val="0000FF"/>
              </w:rPr>
            </w:pPr>
            <w:hyperlink w:anchor="page52">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5"/>
          </w:tcPr>
          <w:p>
            <w:pPr>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Controls and Procedures</w:t>
              </w:r>
            </w:hyperlink>
          </w:p>
        </w:tc>
        <w:tc>
          <w:tcPr>
            <w:tcW w:w="43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37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gridSpan w:val="11"/>
          </w:tcPr>
          <w:p>
            <w:pPr>
              <w:jc w:val="center"/>
              <w:ind w:right="2960"/>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5"/>
          </w:tcPr>
          <w:p>
            <w:pPr>
              <w:spacing w:after="0"/>
              <w:rPr>
                <w:rFonts w:ascii="Arial" w:cs="Arial" w:eastAsia="Arial" w:hAnsi="Arial"/>
                <w:sz w:val="18"/>
                <w:szCs w:val="18"/>
                <w:b w:val="1"/>
                <w:bCs w:val="1"/>
                <w:color w:val="0000FF"/>
                <w:w w:val="86"/>
              </w:rPr>
            </w:pPr>
            <w:hyperlink w:anchor="page54">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820" w:type="dxa"/>
            <w:vAlign w:val="bottom"/>
            <w:tcBorders>
              <w:top w:val="single" w:sz="8" w:color="0000FF"/>
            </w:tcBorders>
            <w:gridSpan w:val="4"/>
          </w:tcPr>
          <w:p>
            <w:pPr>
              <w:spacing w:after="0"/>
              <w:rPr>
                <w:sz w:val="24"/>
                <w:szCs w:val="24"/>
                <w:color w:val="auto"/>
              </w:rPr>
            </w:pPr>
          </w:p>
        </w:tc>
        <w:tc>
          <w:tcPr>
            <w:tcW w:w="30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5"/>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Risk Factors</w:t>
              </w:r>
            </w:hyperlink>
          </w:p>
        </w:tc>
        <w:tc>
          <w:tcPr>
            <w:tcW w:w="758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2"/>
          </w:tcPr>
          <w:p>
            <w:pPr>
              <w:spacing w:after="0"/>
              <w:rPr>
                <w:rFonts w:ascii="Arial" w:cs="Arial" w:eastAsia="Arial" w:hAnsi="Arial"/>
                <w:sz w:val="18"/>
                <w:szCs w:val="18"/>
                <w:b w:val="1"/>
                <w:bCs w:val="1"/>
                <w:color w:val="0000FF"/>
              </w:rPr>
            </w:pPr>
            <w:hyperlink w:anchor="page68">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10"/>
          </w:tcPr>
          <w:p>
            <w:pPr>
              <w:spacing w:after="0"/>
              <w:rPr>
                <w:rFonts w:ascii="Arial" w:cs="Arial" w:eastAsia="Arial" w:hAnsi="Arial"/>
                <w:sz w:val="18"/>
                <w:szCs w:val="18"/>
                <w:b w:val="1"/>
                <w:bCs w:val="1"/>
                <w:color w:val="0000FF"/>
                <w:w w:val="88"/>
              </w:rPr>
            </w:pPr>
            <w:hyperlink w:anchor="page68">
              <w:r>
                <w:rPr>
                  <w:rFonts w:ascii="Arial" w:cs="Arial" w:eastAsia="Arial" w:hAnsi="Arial"/>
                  <w:sz w:val="18"/>
                  <w:szCs w:val="18"/>
                  <w:b w:val="1"/>
                  <w:bCs w:val="1"/>
                  <w:color w:val="0000FF"/>
                  <w:w w:val="88"/>
                </w:rPr>
                <w:t>Defaults Upon Senior Securities</w:t>
              </w:r>
            </w:hyperlink>
          </w:p>
        </w:tc>
        <w:tc>
          <w:tcPr>
            <w:tcW w:w="2120" w:type="dxa"/>
            <w:vAlign w:val="bottom"/>
            <w:gridSpan w:val="4"/>
          </w:tcPr>
          <w:p>
            <w:pPr>
              <w:spacing w:after="0"/>
              <w:rPr>
                <w:sz w:val="24"/>
                <w:szCs w:val="24"/>
                <w:color w:val="auto"/>
              </w:rPr>
            </w:pPr>
          </w:p>
        </w:tc>
        <w:tc>
          <w:tcPr>
            <w:tcW w:w="44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10"/>
          </w:tcPr>
          <w:p>
            <w:pPr>
              <w:spacing w:after="0"/>
              <w:rPr>
                <w:rFonts w:ascii="Arial" w:cs="Arial" w:eastAsia="Arial" w:hAnsi="Arial"/>
                <w:sz w:val="18"/>
                <w:szCs w:val="18"/>
                <w:b w:val="1"/>
                <w:bCs w:val="1"/>
                <w:color w:val="0000FF"/>
              </w:rPr>
            </w:pPr>
            <w:hyperlink w:anchor="page69">
              <w:r>
                <w:rPr>
                  <w:rFonts w:ascii="Arial" w:cs="Arial" w:eastAsia="Arial" w:hAnsi="Arial"/>
                  <w:sz w:val="18"/>
                  <w:szCs w:val="18"/>
                  <w:b w:val="1"/>
                  <w:bCs w:val="1"/>
                  <w:color w:val="0000FF"/>
                </w:rPr>
                <w:t>Mine Safety Disclosures</w:t>
              </w:r>
            </w:hyperlink>
          </w:p>
        </w:tc>
        <w:tc>
          <w:tcPr>
            <w:tcW w:w="6540" w:type="dxa"/>
            <w:vAlign w:val="bottom"/>
            <w:gridSpan w:val="1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6"/>
          </w:tcPr>
          <w:p>
            <w:pPr>
              <w:spacing w:after="0"/>
              <w:rPr>
                <w:rFonts w:ascii="Arial" w:cs="Arial" w:eastAsia="Arial" w:hAnsi="Arial"/>
                <w:sz w:val="18"/>
                <w:szCs w:val="18"/>
                <w:b w:val="1"/>
                <w:bCs w:val="1"/>
                <w:color w:val="0000FF"/>
                <w:w w:val="93"/>
              </w:rPr>
            </w:pPr>
            <w:hyperlink w:anchor="page69">
              <w:r>
                <w:rPr>
                  <w:rFonts w:ascii="Arial" w:cs="Arial" w:eastAsia="Arial" w:hAnsi="Arial"/>
                  <w:sz w:val="18"/>
                  <w:szCs w:val="18"/>
                  <w:b w:val="1"/>
                  <w:bCs w:val="1"/>
                  <w:color w:val="0000FF"/>
                  <w:w w:val="93"/>
                </w:rPr>
                <w:t>Other Information</w:t>
              </w:r>
            </w:hyperlink>
          </w:p>
        </w:tc>
        <w:tc>
          <w:tcPr>
            <w:tcW w:w="380" w:type="dxa"/>
            <w:vAlign w:val="bottom"/>
            <w:gridSpan w:val="2"/>
          </w:tcPr>
          <w:p>
            <w:pPr>
              <w:spacing w:after="0"/>
              <w:rPr>
                <w:sz w:val="24"/>
                <w:szCs w:val="24"/>
                <w:color w:val="auto"/>
              </w:rPr>
            </w:pPr>
          </w:p>
        </w:tc>
        <w:tc>
          <w:tcPr>
            <w:tcW w:w="7160" w:type="dxa"/>
            <w:vAlign w:val="bottom"/>
            <w:gridSpan w:val="1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69">
              <w:r>
                <w:rPr>
                  <w:rFonts w:ascii="Arial" w:cs="Arial" w:eastAsia="Arial" w:hAnsi="Arial"/>
                  <w:sz w:val="18"/>
                  <w:szCs w:val="18"/>
                  <w:b w:val="1"/>
                  <w:bCs w:val="1"/>
                  <w:color w:val="0000FF"/>
                  <w:w w:val="88"/>
                </w:rPr>
                <w:t>Exhibits</w:t>
              </w:r>
            </w:hyperlink>
          </w:p>
        </w:tc>
        <w:tc>
          <w:tcPr>
            <w:tcW w:w="800" w:type="dxa"/>
            <w:vAlign w:val="bottom"/>
            <w:gridSpan w:val="5"/>
          </w:tcPr>
          <w:p>
            <w:pPr>
              <w:spacing w:after="0"/>
              <w:rPr>
                <w:sz w:val="24"/>
                <w:szCs w:val="24"/>
                <w:color w:val="auto"/>
              </w:rPr>
            </w:pPr>
          </w:p>
        </w:tc>
        <w:tc>
          <w:tcPr>
            <w:tcW w:w="754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160" w:type="dxa"/>
            <w:vAlign w:val="bottom"/>
            <w:gridSpan w:val="1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b w:val="1"/>
                <w:bCs w:val="1"/>
                <w:color w:val="0000FF"/>
                <w:w w:val="85"/>
              </w:rPr>
            </w:pPr>
            <w:hyperlink w:anchor="page70">
              <w:r>
                <w:rPr>
                  <w:rFonts w:ascii="Arial" w:cs="Arial" w:eastAsia="Arial" w:hAnsi="Arial"/>
                  <w:sz w:val="18"/>
                  <w:szCs w:val="18"/>
                  <w:b w:val="1"/>
                  <w:bCs w:val="1"/>
                  <w:color w:val="0000FF"/>
                  <w:w w:val="85"/>
                </w:rPr>
                <w:t>Signatures</w:t>
              </w:r>
            </w:hyperlink>
          </w:p>
        </w:tc>
        <w:tc>
          <w:tcPr>
            <w:tcW w:w="8160" w:type="dxa"/>
            <w:vAlign w:val="bottom"/>
            <w:gridSpan w:val="1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3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3"/>
              </w:rPr>
              <w:t>Three Months Ended July 31,</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6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663.7</w:t>
            </w:r>
          </w:p>
        </w:tc>
        <w:tc>
          <w:tcPr>
            <w:tcW w:w="120" w:type="dxa"/>
            <w:vAlign w:val="bottom"/>
          </w:tcPr>
          <w:p>
            <w:pPr>
              <w:spacing w:after="0"/>
              <w:rPr>
                <w:sz w:val="20"/>
                <w:szCs w:val="20"/>
                <w:color w:val="auto"/>
              </w:rPr>
            </w:pPr>
          </w:p>
        </w:tc>
        <w:tc>
          <w:tcPr>
            <w:tcW w:w="8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420.6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1,259.5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771.0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103.5</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166.4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347.6</w:t>
            </w:r>
          </w:p>
        </w:tc>
        <w:tc>
          <w:tcPr>
            <w:tcW w:w="0" w:type="dxa"/>
            <w:vAlign w:val="bottom"/>
          </w:tcPr>
          <w:p>
            <w:pPr>
              <w:spacing w:after="0"/>
              <w:rPr>
                <w:sz w:val="1"/>
                <w:szCs w:val="1"/>
                <w:color w:val="auto"/>
              </w:rPr>
            </w:pPr>
          </w:p>
        </w:tc>
      </w:tr>
      <w:tr>
        <w:trPr>
          <w:trHeight w:val="217"/>
        </w:trPr>
        <w:tc>
          <w:tcPr>
            <w:tcW w:w="5620" w:type="dxa"/>
            <w:vAlign w:val="bottom"/>
          </w:tcPr>
          <w:p>
            <w:pPr>
              <w:ind w:left="540"/>
              <w:spacing w:after="0"/>
              <w:rPr>
                <w:sz w:val="20"/>
                <w:szCs w:val="20"/>
                <w:color w:val="auto"/>
              </w:rPr>
            </w:pPr>
            <w:r>
              <w:rPr>
                <w:rFonts w:ascii="Arial" w:cs="Arial" w:eastAsia="Arial" w:hAnsi="Arial"/>
                <w:sz w:val="16"/>
                <w:szCs w:val="16"/>
                <w:color w:val="auto"/>
              </w:rPr>
              <w:t>Total subscription and maintenance revenue</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767.2</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587.0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1,475.0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1,118.6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7"/>
        </w:trPr>
        <w:tc>
          <w:tcPr>
            <w:tcW w:w="562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796.8</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611.7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1,532.3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1,171.6</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Cost of subscription and maintenance revenue</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other revenue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Amortization of developed technology</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717.3</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541.9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1,370.1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1,035.0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316.8</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289.1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630.1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565.5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353.6</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101.4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643.5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566.6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1,115.0</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Income (loss) from operations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income, net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860" w:type="dxa"/>
            <w:vAlign w:val="bottom"/>
            <w:tcBorders>
              <w:top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681"/>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(121.8)</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6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(loss) per share</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(loss) per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7"/>
                <w:szCs w:val="17"/>
                <w:color w:val="auto"/>
              </w:rPr>
            </w:pPr>
          </w:p>
        </w:tc>
        <w:tc>
          <w:tcPr>
            <w:tcW w:w="8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6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w w:val="99"/>
              </w:rPr>
              <w:t>Weighted average shares used in computing basic net income (loss) per share</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219.6</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219.0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w w:val="98"/>
              </w:rPr>
              <w:t>Weighted average shares used in computing diluted net income (loss) per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222.4</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219.0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222.3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4"/>
              </w:rPr>
              <w:t>Three Months Ended July 31,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23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net of reclassifications: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Net (loss) gain on derivative instruments (net of tax effect of ($1.7), ($1.1), ($2.0)</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and ($1.8), respectively)</w:t>
            </w:r>
          </w:p>
        </w:tc>
        <w:tc>
          <w:tcPr>
            <w:tcW w:w="8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r>
      <w:tr>
        <w:trPr>
          <w:trHeight w:val="220"/>
        </w:trPr>
        <w:tc>
          <w:tcPr>
            <w:tcW w:w="5620" w:type="dxa"/>
            <w:vAlign w:val="bottom"/>
          </w:tcPr>
          <w:p>
            <w:pPr>
              <w:ind w:left="280"/>
              <w:spacing w:after="0"/>
              <w:rPr>
                <w:sz w:val="20"/>
                <w:szCs w:val="20"/>
                <w:color w:val="auto"/>
              </w:rPr>
            </w:pPr>
            <w:r>
              <w:rPr>
                <w:rFonts w:ascii="Arial" w:cs="Arial" w:eastAsia="Arial" w:hAnsi="Arial"/>
                <w:sz w:val="16"/>
                <w:szCs w:val="16"/>
                <w:color w:val="auto"/>
                <w:w w:val="94"/>
              </w:rPr>
              <w:t>Change in net unrealized (loss) gain on available-for-sale debt securities (net of</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5620" w:type="dxa"/>
            <w:vAlign w:val="bottom"/>
          </w:tcPr>
          <w:p>
            <w:pPr>
              <w:ind w:left="600"/>
              <w:spacing w:after="0"/>
              <w:rPr>
                <w:sz w:val="20"/>
                <w:szCs w:val="20"/>
                <w:color w:val="auto"/>
              </w:rPr>
            </w:pPr>
            <w:r>
              <w:rPr>
                <w:rFonts w:ascii="Arial" w:cs="Arial" w:eastAsia="Arial" w:hAnsi="Arial"/>
                <w:sz w:val="16"/>
                <w:szCs w:val="16"/>
                <w:color w:val="auto"/>
              </w:rPr>
              <w:t>tax effect of $0.1, ($0.1), ($0.3) and $0.0, respectively)</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6"/>
              </w:rPr>
              <w:t>Change in defined benefit pension items (net of tax effect of $0.4, ($0.1), $0.5</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and ($1.5), respectively)</w:t>
            </w:r>
          </w:p>
        </w:tc>
        <w:tc>
          <w:tcPr>
            <w:tcW w:w="8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r>
      <w:tr>
        <w:trPr>
          <w:trHeight w:val="220"/>
        </w:trPr>
        <w:tc>
          <w:tcPr>
            <w:tcW w:w="5620" w:type="dxa"/>
            <w:vAlign w:val="bottom"/>
          </w:tcPr>
          <w:p>
            <w:pPr>
              <w:ind w:left="280"/>
              <w:spacing w:after="0"/>
              <w:rPr>
                <w:sz w:val="20"/>
                <w:szCs w:val="20"/>
                <w:color w:val="auto"/>
              </w:rPr>
            </w:pPr>
            <w:r>
              <w:rPr>
                <w:rFonts w:ascii="Arial" w:cs="Arial" w:eastAsia="Arial" w:hAnsi="Arial"/>
                <w:sz w:val="16"/>
                <w:szCs w:val="16"/>
                <w:color w:val="auto"/>
                <w:w w:val="97"/>
              </w:rPr>
              <w:t>Net change in cumulative foreign currency translation loss (net of tax effect of</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5620" w:type="dxa"/>
            <w:vAlign w:val="bottom"/>
          </w:tcPr>
          <w:p>
            <w:pPr>
              <w:ind w:left="600"/>
              <w:spacing w:after="0"/>
              <w:rPr>
                <w:sz w:val="20"/>
                <w:szCs w:val="20"/>
                <w:color w:val="auto"/>
              </w:rPr>
            </w:pPr>
            <w:r>
              <w:rPr>
                <w:rFonts w:ascii="Arial" w:cs="Arial" w:eastAsia="Arial" w:hAnsi="Arial"/>
                <w:sz w:val="16"/>
                <w:szCs w:val="16"/>
                <w:color w:val="auto"/>
              </w:rPr>
              <w:t>($0.4), $0.2, $0.0 and $0.5, respectively)</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5"/>
              </w:rPr>
              <w:t>(29.7)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(54.0)</w:t>
            </w:r>
          </w:p>
        </w:tc>
      </w:tr>
      <w:tr>
        <w:trPr>
          <w:trHeight w:val="33"/>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Total comprehensive income (loss)</w:t>
            </w:r>
          </w:p>
        </w:tc>
        <w:tc>
          <w:tcPr>
            <w:tcW w:w="880" w:type="dxa"/>
            <w:vAlign w:val="bottom"/>
            <w:tcBorders>
              <w:top w:val="single" w:sz="8" w:color="auto"/>
              <w:bottom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(56.5)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(148.9)</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31, 2019</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January 31, 2019</w:t>
            </w: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67.6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474.3</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192.1</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1,620.0</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105.6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2,450.8</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65.3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337.8</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4,872.7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4,729.2</w:t>
            </w:r>
          </w:p>
        </w:tc>
      </w:tr>
      <w:tr>
        <w:trPr>
          <w:trHeight w:val="73"/>
        </w:trPr>
        <w:tc>
          <w:tcPr>
            <w:tcW w:w="8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2280"/>
              <w:spacing w:after="0" w:line="177" w:lineRule="exact"/>
              <w:rPr>
                <w:sz w:val="20"/>
                <w:szCs w:val="20"/>
                <w:color w:val="auto"/>
              </w:rPr>
            </w:pPr>
            <w:r>
              <w:rPr>
                <w:rFonts w:ascii="Arial" w:cs="Arial" w:eastAsia="Arial" w:hAnsi="Arial"/>
                <w:sz w:val="16"/>
                <w:szCs w:val="16"/>
                <w:b w:val="1"/>
                <w:bCs w:val="1"/>
                <w:color w:val="auto"/>
              </w:rPr>
              <w:t>LIABILITIES AND STOCKHOLDERS’ DEFICIT</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280.8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1,772.1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1,763.3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Current portion of long-term notes payable, net</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449.2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142.3</w:t>
            </w: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2,707.3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2,301.2</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revenue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income taxes payable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deferred income taxes</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79.8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notes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2,087.7</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121.8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deficit: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2,071.5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(2,224.3)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(2,147.4)</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liabilities and stockholders' deficit</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4,872.7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4,729.2</w:t>
            </w:r>
          </w:p>
        </w:tc>
      </w:tr>
      <w:tr>
        <w:trPr>
          <w:trHeight w:val="33"/>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rPr>
              <w:t>Six Months Ended July 31,</w:t>
            </w:r>
          </w:p>
        </w:tc>
        <w:tc>
          <w:tcPr>
            <w:tcW w:w="62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3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9"/>
                <w:szCs w:val="19"/>
                <w:color w:val="auto"/>
              </w:rPr>
            </w:pP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(121.8)</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102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46.3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204.2</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(201.3)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11.5</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102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27.0</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10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0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(154.7)</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Repayment of debt</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2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886.0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89"/>
              </w:rPr>
              <w:t>1,078.0</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923.9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895.4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7"/>
        </w:trPr>
        <w:tc>
          <w:tcPr>
            <w:tcW w:w="8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Fair value of common stock issued as consideration for business combination</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44.8</w:t>
            </w:r>
          </w:p>
        </w:tc>
      </w:tr>
      <w:tr>
        <w:trPr>
          <w:trHeight w:val="33"/>
        </w:trPr>
        <w:tc>
          <w:tcPr>
            <w:tcW w:w="8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Autodesk, Inc. (“Autodesk,” “we,” “us,” “our,” or the “Company”) as of July 31, 2019, and for the three and six months ended July 31, 2019 and 2018,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2019, are not necessarily indicative of the results for the entire fiscal year ending January 31, 2020, or for any other period. Further, the balance sheet as of January 31, 2019,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2019.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2019, filed on March 25,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With the exception of those discussed below, there have been no recent changes in accounting pronouncements issued by the Financial Accounting Standards Board (“FASB”) or adopted by the Company during the six months ended July 31, 2019, that are applicable to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225"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Autodesk adopted ASU No. 2017-12, "Derivatives and Hedging (Topic 815): Targeted Improvements to Accounting for Hedging Activities" on February 1, 2019. The amendment helps simplify certain aspects of hedge accounting and results in a more accurate portrayal of the economics of an entity’s risk management activities in its financial statements. For cash flow and net investment hedges as of the adoption date, the guidance required a modified retrospective approach. The amended presentation and disclosure guidance is required only prospectively. The transition impact was immaterial and no substantive changes were made to Autodesk’s current processes, accounting, or disclosures for cash flow hedges.</w:t>
      </w:r>
    </w:p>
    <w:p>
      <w:pPr>
        <w:spacing w:after="0" w:line="17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Autodesk adopted ASU No. 2018-02, “Income Statement-Reporting Comprehensive Income (Topic 220): Reclassification of Certain Tax Effects from Accumulated Other Comprehensive Income” on February 1, 2019. The amendment allows entities the option to reclassify tax effects stranded in accumulated other comprehensive income as a result of the U.S. Tax Cuts and Jobs Act (the "Tax Act") to retained earnings. Upon adoption, the amount reclassified from other comprehensive loss to stockholders' deficit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February 2016, FASB issued ASU No. 2016-02, Leases (ASC Topic 842) to increase transparency and comparability among organizations by recognizing lease assets and lease liabilities on the balance sheet and disclosing key information about leasing transactions. The new standard requires entities to reflect the net present value of all future fixed lease payments for both operating and finance leases on the balance sheet. It also requires entities to disclose fixed and variable lease payments separately and by lease type (operating vs. finance leases). In addition, FASB issued ASU No. 2018-10 and 2018-11 in July 2018 and ASU No. 2018-20 in December 2018 to help provide accommodations and interpretive clarifications on various issues raised by stakeholders. ASU No. 2018-10 clarifies ambiguous or potentially conflicting guidance in ASU No. 2016-02. ASU No. 2018-11 provides an additional transition option to apply ASU No. 2016-02 upon adoption of the new standard.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Adoption and policy elections</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 adopted ASU No. 2016-02 as of February 1, 2019, using the modified retrospective method permitted under ASU No. 2018-11 for all existing leases which does not include retrospectively adjusting prior periods presented in the financial statements. Under ASU No. 2016-02, as the lessee, Autodesk recognized a right-of-use ("ROU") asset and offsetting lease liability for leases that existed on adoption. The asset and liability were measured at present value of all future fixed lease payments, discounted using the Company’s incremental borrowing rate. Autodesk has elected to opt for the practical expedients: to not reassess whether any existing contracts are leases or contain a lease; to not reassess the lease classification of existing leases; and to not reassess initial direct costs for existing leases. Autodesk has elected to combine lease and non-lease components for new leases post adoption for all lease assets.</w:t>
      </w:r>
    </w:p>
    <w:p>
      <w:pPr>
        <w:spacing w:after="0" w:line="16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Autodesk determines if an arrangement is a lease at inception. Operating leases are included in “Operating lease right-of-use assets”, “Operating lease liabilities”, and “Long-term operating lease liabilities” in the Condensed Consolidated Balance Sheets.</w:t>
      </w:r>
    </w:p>
    <w:p>
      <w:pPr>
        <w:spacing w:after="0" w:line="170" w:lineRule="exact"/>
        <w:rPr>
          <w:sz w:val="20"/>
          <w:szCs w:val="20"/>
          <w:color w:val="auto"/>
        </w:rPr>
      </w:pPr>
    </w:p>
    <w:p>
      <w:pPr>
        <w:ind w:right="220" w:firstLine="405"/>
        <w:spacing w:after="0" w:line="272" w:lineRule="auto"/>
        <w:rPr>
          <w:sz w:val="20"/>
          <w:szCs w:val="20"/>
          <w:color w:val="auto"/>
        </w:rPr>
      </w:pPr>
      <w:r>
        <w:rPr>
          <w:rFonts w:ascii="Arial" w:cs="Arial" w:eastAsia="Arial" w:hAnsi="Arial"/>
          <w:sz w:val="17"/>
          <w:szCs w:val="17"/>
          <w:color w:val="auto"/>
        </w:rPr>
        <w:t>Operating lease ROU assets represent Autodesk’s right to use an underlying asset for the lease term and operating lease liabilities represent the Company’s obligation to make lease payments arising from the lease. Operating lease ROU assets and operating lease liabilities are recognized at commencement date based on the present value of lease payments over the lease term. As most of the Company’s leases do not provide an implicit rate, Autodesk uses its incremental borrowing rate, adjusted for local country-specific borrowing rates as applicable, based on the information available at commencement date in determining the present value of lease payments. The operating lease ROU assets include any adjustments for prepayments and any lease incentives. Options to extend or terminate the lease are considered in determining the lease term when it is reasonably certain that the option will be exercised. Lease expense for lease payments is recognized on a straight-line basis over the lease term.</w:t>
      </w:r>
    </w:p>
    <w:p>
      <w:pPr>
        <w:spacing w:after="0" w:line="17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Autodesk has lease agreements with lease and non-lease components. Autodesk accounts for the lease and non-lease components as a single lease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Quantitative effect of ASC Topic 842 adoption</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Under the modified retrospective method, Autodesk recorded $(0.7) million to the opening balance of "Accumulated deficit" as of February 1, 2019. The comparative information has not been adjusted and continues to be reported as under previous accounting guidance. The adoption of ASU No. 2016-02 did not have a material impact to the Company’s condensed consolidated statement of operations or net cash provided by operating activities as of February 1, 2019.</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right="120" w:firstLine="405"/>
        <w:spacing w:after="0" w:line="277" w:lineRule="auto"/>
        <w:rPr>
          <w:sz w:val="20"/>
          <w:szCs w:val="20"/>
          <w:color w:val="auto"/>
        </w:rPr>
      </w:pPr>
      <w:r>
        <w:rPr>
          <w:rFonts w:ascii="Arial" w:cs="Arial" w:eastAsia="Arial" w:hAnsi="Arial"/>
          <w:sz w:val="18"/>
          <w:szCs w:val="18"/>
          <w:color w:val="auto"/>
        </w:rPr>
        <w:t>The following table shows line items that were materially impacted by the adoption of ASC Topic 842 on February 1, 2019, on Autodesk’s Condensed Consolidated Balance Sheet: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reported</w:t>
            </w: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Impact from the</w:t>
            </w:r>
          </w:p>
        </w:tc>
        <w:tc>
          <w:tcPr>
            <w:tcW w:w="140" w:type="dxa"/>
            <w:vAlign w:val="bottom"/>
          </w:tcPr>
          <w:p>
            <w:pPr>
              <w:spacing w:after="0"/>
              <w:rPr>
                <w:sz w:val="14"/>
                <w:szCs w:val="14"/>
                <w:color w:val="auto"/>
              </w:rPr>
            </w:pPr>
          </w:p>
        </w:tc>
        <w:tc>
          <w:tcPr>
            <w:tcW w:w="9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3"/>
              </w:rPr>
              <w:t>As adjusted</w:t>
            </w:r>
          </w:p>
        </w:tc>
        <w:tc>
          <w:tcPr>
            <w:tcW w:w="0" w:type="dxa"/>
            <w:vAlign w:val="bottom"/>
          </w:tcPr>
          <w:p>
            <w:pPr>
              <w:spacing w:after="0"/>
              <w:rPr>
                <w:sz w:val="1"/>
                <w:szCs w:val="1"/>
                <w:color w:val="auto"/>
              </w:rPr>
            </w:pPr>
          </w:p>
        </w:tc>
      </w:tr>
      <w:tr>
        <w:trPr>
          <w:trHeight w:val="192"/>
        </w:trPr>
        <w:tc>
          <w:tcPr>
            <w:tcW w:w="742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31, 2019</w:t>
            </w:r>
          </w:p>
        </w:tc>
        <w:tc>
          <w:tcPr>
            <w:tcW w:w="14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adoption (1)</w:t>
            </w: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ind w:left="34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4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192.1</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1,614.1</w:t>
            </w:r>
          </w:p>
        </w:tc>
        <w:tc>
          <w:tcPr>
            <w:tcW w:w="0" w:type="dxa"/>
            <w:vAlign w:val="bottom"/>
          </w:tcPr>
          <w:p>
            <w:pPr>
              <w:spacing w:after="0"/>
              <w:rPr>
                <w:sz w:val="1"/>
                <w:szCs w:val="1"/>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283.4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283.4</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5,006.7</w:t>
            </w:r>
          </w:p>
        </w:tc>
        <w:tc>
          <w:tcPr>
            <w:tcW w:w="0" w:type="dxa"/>
            <w:vAlign w:val="bottom"/>
          </w:tcPr>
          <w:p>
            <w:pPr>
              <w:spacing w:after="0"/>
              <w:rPr>
                <w:sz w:val="1"/>
                <w:szCs w:val="1"/>
                <w:color w:val="auto"/>
              </w:rPr>
            </w:pPr>
          </w:p>
        </w:tc>
      </w:tr>
      <w:tr>
        <w:trPr>
          <w:trHeight w:val="224"/>
        </w:trPr>
        <w:tc>
          <w:tcPr>
            <w:tcW w:w="7420" w:type="dxa"/>
            <w:vAlign w:val="bottom"/>
          </w:tcPr>
          <w:p>
            <w:pPr>
              <w:ind w:left="1940"/>
              <w:spacing w:after="0"/>
              <w:rPr>
                <w:sz w:val="20"/>
                <w:szCs w:val="20"/>
                <w:color w:val="auto"/>
              </w:rPr>
            </w:pPr>
            <w:r>
              <w:rPr>
                <w:rFonts w:ascii="Arial" w:cs="Arial" w:eastAsia="Arial" w:hAnsi="Arial"/>
                <w:sz w:val="16"/>
                <w:szCs w:val="16"/>
                <w:b w:val="1"/>
                <w:bCs w:val="1"/>
                <w:color w:val="auto"/>
              </w:rPr>
              <w:t>LIABILITIES AND STOCKHOLDERS’ DEFICIT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Long-term operating lease liabilities</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245.9</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(2,147.4)</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(2,148.1)</w:t>
            </w:r>
          </w:p>
        </w:tc>
        <w:tc>
          <w:tcPr>
            <w:tcW w:w="0" w:type="dxa"/>
            <w:vAlign w:val="bottom"/>
          </w:tcPr>
          <w:p>
            <w:pPr>
              <w:spacing w:after="0"/>
              <w:rPr>
                <w:sz w:val="1"/>
                <w:szCs w:val="1"/>
                <w:color w:val="auto"/>
              </w:rPr>
            </w:pPr>
          </w:p>
        </w:tc>
      </w:tr>
      <w:tr>
        <w:trPr>
          <w:trHeight w:val="249"/>
        </w:trPr>
        <w:tc>
          <w:tcPr>
            <w:tcW w:w="7420" w:type="dxa"/>
            <w:vAlign w:val="bottom"/>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1700" w:hanging="412"/>
        <w:spacing w:after="0" w:line="492"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w:t>
      </w:r>
      <w:r>
        <w:rPr>
          <w:rFonts w:ascii="Arial" w:cs="Arial" w:eastAsia="Arial" w:hAnsi="Arial"/>
          <w:sz w:val="18"/>
          <w:szCs w:val="18"/>
          <w:color w:val="auto"/>
        </w:rPr>
        <w:t>doption of ASC Topic 842 did not have any other material impacts on Autodesk's condensed consolidated financial statements</w:t>
      </w:r>
      <w:r>
        <w:rPr>
          <w:rFonts w:ascii="Arial" w:cs="Arial" w:eastAsia="Arial" w:hAnsi="Arial"/>
          <w:sz w:val="16"/>
          <w:szCs w:val="16"/>
          <w:color w:val="auto"/>
        </w:rPr>
        <w:t xml:space="preserve">. </w:t>
      </w:r>
      <w:r>
        <w:rPr>
          <w:rFonts w:ascii="Arial" w:cs="Arial" w:eastAsia="Arial" w:hAnsi="Arial"/>
          <w:sz w:val="18"/>
          <w:szCs w:val="18"/>
          <w:color w:val="auto"/>
        </w:rPr>
        <w:t>See Note 13, "Leases" for disclosures under ASC Topic 842.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 not yet adopted</w:t>
      </w:r>
    </w:p>
    <w:p>
      <w:pPr>
        <w:spacing w:after="0" w:line="225"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In June 2016, FASB issued ASU No. 2016-13 regarding ASC Topic 326, "Financial Instruments - Credit Losses," which modifies the measurement of expected credit losses of certain financial instruments. Autodesk plans to adopt ASU 2016-13 as of the effective date which represents Autodesk’s fiscal year beginning February 1, 2020. Autodesk does not believe the ASU will have a material impact on its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Revenue Recognition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Autodesk’s revenue is divided into three categories: subscription revenue, maintenance revenue, and other revenue. Revenue is recognized when control for these offerings is transferred to our customers and in an amount that reflects the consideration we expect to be entitled to in exchange for products and services.</w:t>
      </w:r>
    </w:p>
    <w:p>
      <w:pPr>
        <w:spacing w:after="0" w:line="181"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Our contracts with customers may include promises to transfer multiple products and services to a customer. Determining whether the products and services are considered distinct performance obligations that should be accounted for separately or as one combined performance obligation may require significant judgment. Judgment is required to determine the level of integration and interdependency between individual components of software and cloud functionality. This determination influences whether the software is considered distinct and accounted for separately as a license performance obligation, or not distinct and accounted for together with the cloud functionality as a single subscription performance obligation recognized over time.</w:t>
      </w:r>
    </w:p>
    <w:p>
      <w:pPr>
        <w:spacing w:after="0" w:line="158"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For product subscriptions and enterprise business agreement ("EBA") subscriptions in which the desktop software and related cloud functionality are highly interrelated, the combined performance obligation is recognized ratably over the contract term as the obligation is delivered. For contracts involving distinct software licenses, the license performance obligation is satisfied at a point in time when control is transferred to the customer. For standalone maintenance subscriptions, cloud subscriptions, and technical support services, the performance obligation is satisfied ratably over the contract term as those services are delivered. For consulting services, the performance obligation is satisfied over a period of time as those services are delivered.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800" w:right="279" w:bottom="1440" w:gutter="0" w:footer="0" w:header="0"/>
        </w:sectPr>
      </w:pPr>
    </w:p>
    <w:bookmarkStart w:id="10" w:name="page11"/>
    <w:bookmarkEnd w:id="10"/>
    <w:p>
      <w:pPr>
        <w:ind w:firstLine="405"/>
        <w:spacing w:after="0" w:line="342" w:lineRule="auto"/>
        <w:rPr>
          <w:sz w:val="20"/>
          <w:szCs w:val="20"/>
          <w:color w:val="auto"/>
        </w:rPr>
      </w:pPr>
      <w:r>
        <w:rPr>
          <w:rFonts w:ascii="Arial" w:cs="Arial" w:eastAsia="Arial" w:hAnsi="Arial"/>
          <w:sz w:val="16"/>
          <w:szCs w:val="16"/>
          <w:color w:val="auto"/>
        </w:rPr>
        <w:t>When an arrangement includes multiple performance obligations, which are concurrently delivered and have the same pattern of transfer to the customer (the services transfer to the customer over the contract period), we account for those performance obligations as a single performance obligation.</w:t>
      </w:r>
    </w:p>
    <w:p>
      <w:pPr>
        <w:spacing w:after="0" w:line="12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We use a range of amounts to estimate SSP when we sell each of the products and services separately and need to determine whether there is a discount that should be allocated based on the relative SSP of the various products and services.</w:t>
      </w:r>
    </w:p>
    <w:p>
      <w:pPr>
        <w:spacing w:after="0" w:line="18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includes market conditions and other observable inputs. We typically have more than one SSP for individual products and services due to the stratification of those products and services by customer and circumstance. In these instances, we use relevant information such as the sales channel and geographic region to determine the SSP.</w:t>
      </w:r>
    </w:p>
    <w:p>
      <w:pPr>
        <w:spacing w:after="0" w:line="18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Our indirect channel model includes both a two-tiered distribution structure, where Autodesk sells to distributors that subsequently sell to resellers, and a one-tiered structure where Autodesk sells directly to resellers. For these arrangements, transfer of control begins at the time access to our subscriptions is made available electronically to our customer, provided all other criteria for revenue recognition are met. Judgment is required to determine whether our distributors and resellers have the ability to honor their commitment to pay, regardless of whether they collect payment from their customers. If we were to change this assessment, it could cause a material increase or decrease in the amount of revenue that we report in a particular period.</w:t>
      </w:r>
    </w:p>
    <w:p>
      <w:pPr>
        <w:spacing w:after="0" w:line="158"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As part of the indirect channel model, we have a partner incentive program that uses quarterly attainment of monetary rewards to motivate distributors and resellers to achieve mutually agreed upon business goals in a specified time period. Incentives related to our subscription program are recorded as a reduction to deferred revenue in the period the subscription transaction is billed, and are subsequently recognized as a reduction to subscription revenue over the contract period. A small portion of partner incentives reduce maintenance revenue in the current period. These incentive balances do not require significant assumptions or judgments. Depending on how the payments are made, the reserves associated with the partner incentive program are recorded on the balance sheet as either contra accounts receivable or accounts payable.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Disaggregation</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Autodesk recognizes revenue from the sale of (1) product subscriptions, cloud service offerings, and EBAs, (2) renewal fees for existing maintenance plan agreements that were initially purchased with a perpetual software license, and (3) consulting, training and other goods and services. The three categories are presented as line items on Autodesk's unaudited Condensed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right="460" w:firstLine="432"/>
        <w:spacing w:after="0" w:line="277" w:lineRule="auto"/>
        <w:rPr>
          <w:sz w:val="20"/>
          <w:szCs w:val="20"/>
          <w:color w:val="auto"/>
        </w:rPr>
      </w:pPr>
      <w:r>
        <w:rPr>
          <w:rFonts w:ascii="Arial" w:cs="Arial" w:eastAsia="Arial" w:hAnsi="Arial"/>
          <w:sz w:val="18"/>
          <w:szCs w:val="18"/>
          <w:color w:val="auto"/>
        </w:rPr>
        <w:t>Information regarding the components of Autodesk's net revenue from contracts with customers by geographic location, product family, and sales channel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4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4"/>
              </w:rPr>
              <w:t>Three Months Ended July 31,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56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96"/>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r>
      <w:tr>
        <w:trPr>
          <w:trHeight w:val="21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product family:</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60"/>
        </w:trPr>
        <w:tc>
          <w:tcPr>
            <w:tcW w:w="56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w w:val="89"/>
              </w:rPr>
              <w:t>334.2</w:t>
            </w:r>
          </w:p>
        </w:tc>
        <w:tc>
          <w:tcPr>
            <w:tcW w:w="120" w:type="dxa"/>
            <w:vAlign w:val="bottom"/>
          </w:tcPr>
          <w:p>
            <w:pPr>
              <w:spacing w:after="0"/>
              <w:rPr>
                <w:sz w:val="20"/>
                <w:szCs w:val="20"/>
                <w:color w:val="auto"/>
              </w:rPr>
            </w:pPr>
          </w:p>
        </w:tc>
        <w:tc>
          <w:tcPr>
            <w:tcW w:w="880" w:type="dxa"/>
            <w:vAlign w:val="bottom"/>
          </w:tcPr>
          <w:p>
            <w:pPr>
              <w:jc w:val="right"/>
              <w:ind w:right="70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243.1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638.5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464.9</w:t>
            </w: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AutoCAD and AutoCAD LT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231.3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332.2</w:t>
            </w: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w w:val="89"/>
              </w:rPr>
              <w:t>174.6</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146.1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342.1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281.5</w:t>
            </w: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83.5</w:t>
            </w: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9.5</w:t>
            </w:r>
          </w:p>
        </w:tc>
      </w:tr>
      <w:tr>
        <w:trPr>
          <w:trHeight w:val="33"/>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880" w:type="dxa"/>
            <w:vAlign w:val="bottom"/>
            <w:tcBorders>
              <w:bottom w:val="single" w:sz="8" w:color="CCEEFF"/>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796.8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611.7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1,171.6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4"/>
        </w:trPr>
        <w:tc>
          <w:tcPr>
            <w:tcW w:w="5600" w:type="dxa"/>
            <w:vAlign w:val="bottom"/>
          </w:tcPr>
          <w:p>
            <w:pPr>
              <w:ind w:left="380"/>
              <w:spacing w:after="0"/>
              <w:rPr>
                <w:sz w:val="20"/>
                <w:szCs w:val="20"/>
                <w:color w:val="auto"/>
              </w:rPr>
            </w:pPr>
            <w:r>
              <w:rPr>
                <w:rFonts w:ascii="Arial" w:cs="Arial" w:eastAsia="Arial" w:hAnsi="Arial"/>
                <w:sz w:val="16"/>
                <w:szCs w:val="16"/>
                <w:color w:val="auto"/>
              </w:rPr>
              <w:t>Americas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
        </w:trPr>
        <w:tc>
          <w:tcPr>
            <w:tcW w:w="5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5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880" w:type="dxa"/>
            <w:vAlign w:val="bottom"/>
            <w:tcBorders>
              <w:bottom w:val="single" w:sz="8" w:color="CCEEFF"/>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267.9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205.2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401.1</w:t>
            </w:r>
          </w:p>
        </w:tc>
      </w:tr>
      <w:tr>
        <w:trPr>
          <w:trHeight w:val="237"/>
        </w:trPr>
        <w:tc>
          <w:tcPr>
            <w:tcW w:w="560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79.9</w:t>
            </w:r>
          </w:p>
        </w:tc>
      </w:tr>
      <w:tr>
        <w:trPr>
          <w:trHeight w:val="33"/>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325.9</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247.5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481.0</w:t>
            </w: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w w:val="89"/>
              </w:rPr>
              <w:t>316.2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248.3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613.4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469.2</w:t>
            </w: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154.7</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115.9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221.4</w:t>
            </w:r>
          </w:p>
        </w:tc>
      </w:tr>
      <w:tr>
        <w:trPr>
          <w:trHeight w:val="217"/>
        </w:trPr>
        <w:tc>
          <w:tcPr>
            <w:tcW w:w="560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880" w:type="dxa"/>
            <w:vAlign w:val="bottom"/>
            <w:tcBorders>
              <w:top w:val="single" w:sz="8" w:color="auto"/>
            </w:tcBorders>
          </w:tcPr>
          <w:p>
            <w:pPr>
              <w:jc w:val="right"/>
              <w:ind w:right="7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796.8</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611.7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1,532.3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1,171.6</w:t>
            </w:r>
          </w:p>
        </w:tc>
      </w:tr>
      <w:tr>
        <w:trPr>
          <w:trHeight w:val="73"/>
        </w:trPr>
        <w:tc>
          <w:tcPr>
            <w:tcW w:w="56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78"/>
        </w:trPr>
        <w:tc>
          <w:tcPr>
            <w:tcW w:w="5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24"/>
        </w:trPr>
        <w:tc>
          <w:tcPr>
            <w:tcW w:w="5600" w:type="dxa"/>
            <w:vAlign w:val="bottom"/>
          </w:tcPr>
          <w:p>
            <w:pPr>
              <w:ind w:left="40"/>
              <w:spacing w:after="0"/>
              <w:rPr>
                <w:sz w:val="20"/>
                <w:szCs w:val="20"/>
                <w:color w:val="auto"/>
              </w:rPr>
            </w:pPr>
            <w:r>
              <w:rPr>
                <w:rFonts w:ascii="Arial" w:cs="Arial" w:eastAsia="Arial" w:hAnsi="Arial"/>
                <w:sz w:val="16"/>
                <w:szCs w:val="16"/>
                <w:color w:val="auto"/>
              </w:rPr>
              <w:t>Net revenue by sales channel:</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
        </w:trPr>
        <w:tc>
          <w:tcPr>
            <w:tcW w:w="5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Indirect</w:t>
            </w:r>
          </w:p>
        </w:tc>
        <w:tc>
          <w:tcPr>
            <w:tcW w:w="880" w:type="dxa"/>
            <w:vAlign w:val="bottom"/>
            <w:tcBorders>
              <w:bottom w:val="single" w:sz="8" w:color="CCEEFF"/>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560.2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440.2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838.5</w:t>
            </w: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Direct</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w w:val="89"/>
              </w:rPr>
              <w:t>236.6</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171.5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455.7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333.1</w:t>
            </w:r>
          </w:p>
        </w:tc>
      </w:tr>
      <w:tr>
        <w:trPr>
          <w:trHeight w:val="33"/>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880" w:type="dxa"/>
            <w:vAlign w:val="bottom"/>
            <w:tcBorders>
              <w:bottom w:val="single" w:sz="8" w:color="CCEEFF"/>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796.8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611.7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1,171.6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Payments for product subscriptions, industry collections, cloud subscriptions, and maintenance subscriptions are typically due up front with payment terms of 30 to 45 days. Payments on EBAs are typically due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18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Remaining performance obligations consist of total billed and unbilled deferred revenue. As of July 31, 2019, Autodesk had remaining performance obligations of $2.81 billion, which represents the total contract price allocated to remaining performance obligations, which are generally recognized over the next three years. We expect to recognize $2.01 billion or 72% of our remaining performance obligations as revenue during the next 12 months. We expect to recognize the remaining $798.9 million or 28% of our remaining performance obligations as revenue thereafter.</w:t>
      </w:r>
    </w:p>
    <w:p>
      <w:pPr>
        <w:spacing w:after="0" w:line="171"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We expect that the amount of remaining performance obligations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We receive payments from customers based on a billing schedule as established in our contracts. Contract assets relate to performance completed in advance of scheduled billings. Contract assets were not material as of July 31, 2019. Deferred revenue relates to billings in advance of performance under the contract. The primary changes in our contract assets and deferred revenues are due to our performance under the contracts and billings.</w:t>
      </w:r>
    </w:p>
    <w:p>
      <w:pPr>
        <w:spacing w:after="0" w:line="14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Revenue recognized during the six months ended July 31, 2019, that was included in the deferred revenue balances at January 31, 2019, was $1.19 billion. The satisfaction of performance obligations typically lags behind payments received under revenue contracts from customers, which may lead to an increase in our deferred revenue balance over time.</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584" w:right="2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$650.0 million line of credit facility as well as our Term Loan Agreement. See Note 12, "Borrowing Arrangements," in the Notes to Condensed Consolidated Financial Statements for further discussion.</w:t>
      </w:r>
    </w:p>
    <w:p>
      <w:pPr>
        <w:spacing w:after="0" w:line="188" w:lineRule="exact"/>
        <w:rPr>
          <w:sz w:val="20"/>
          <w:szCs w:val="20"/>
          <w:color w:val="auto"/>
        </w:rPr>
      </w:pPr>
    </w:p>
    <w:p>
      <w:pPr>
        <w:jc w:val="both"/>
        <w:ind w:right="60" w:firstLine="405"/>
        <w:spacing w:after="0" w:line="288" w:lineRule="auto"/>
        <w:rPr>
          <w:sz w:val="20"/>
          <w:szCs w:val="20"/>
          <w:color w:val="auto"/>
        </w:rPr>
      </w:pPr>
      <w:r>
        <w:rPr>
          <w:rFonts w:ascii="Arial" w:cs="Arial" w:eastAsia="Arial" w:hAnsi="Arial"/>
          <w:sz w:val="16"/>
          <w:szCs w:val="16"/>
          <w:color w:val="auto"/>
        </w:rPr>
        <w:t>Total sales to the Company's largest distributor Tech Data Corporation and its global affiliates (“Tech Data”) accounted for 35% of Autodesk’s total net revenue for both the three and six months ended July 31, 2019 and 2018. The majority of the net revenue from sales to Tech Data is for sales made outside of the United States. In addition, Tech Data accounted for 28% and 29% of trade accounts receivable at July 31, 2019, and January 31, 2019, respectively.</w:t>
      </w:r>
    </w:p>
    <w:p>
      <w:pPr>
        <w:ind w:right="80"/>
        <w:spacing w:after="0" w:line="255" w:lineRule="auto"/>
        <w:rPr>
          <w:sz w:val="20"/>
          <w:szCs w:val="20"/>
          <w:color w:val="auto"/>
        </w:rPr>
      </w:pPr>
      <w:r>
        <w:rPr>
          <w:rFonts w:ascii="Arial" w:cs="Arial" w:eastAsia="Arial" w:hAnsi="Arial"/>
          <w:sz w:val="18"/>
          <w:szCs w:val="18"/>
          <w:color w:val="auto"/>
        </w:rPr>
        <w:t>During the three and six months ended July 31, 2019 and 2018, Ingram Micro Inc. ("Ingram Micro") accounted for 10% and 11% of Autodesk's total net revenue, respectively. No other customer accounted for more than 10% of Autodesk's total net revenue or trade accounts receivable for each of the respective periods.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5</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July 31, 2019, and January 31, 2019:</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July 31, 2019</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60" w:type="dxa"/>
            <w:vAlign w:val="bottom"/>
          </w:tcPr>
          <w:p>
            <w:pPr>
              <w:jc w:val="center"/>
              <w:ind w:right="61"/>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8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Agency discount notes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365.0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365.0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365.0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(3)</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Derivative contract liabilities (4)</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482.0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433.3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custody cash deposits and certificates of deposit.</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January 31, 2019</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5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Custody cash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Short-term</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Long-term</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(3)</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Derivative contract assets (4)</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liabilities (5)</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960" w:type="dxa"/>
            <w:vAlign w:val="bottom"/>
          </w:tcPr>
          <w:p>
            <w:pPr>
              <w:ind w:left="26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445.2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449.2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345.2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98.8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corporate bonds, commercial paper, and common stock.</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16" w:lineRule="exact"/>
        <w:rPr>
          <w:rFonts w:ascii="Arial" w:cs="Arial" w:eastAsia="Arial" w:hAnsi="Arial"/>
          <w:sz w:val="15"/>
          <w:szCs w:val="15"/>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Generally,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The Company has elected to use the income approach to value derivatives using the observable Level 2 market expectations at measurement date and standard valuation techniques to convert future amounts to a single present amount (discounted). Mid-market pricing is used as a practical expedient and when required, rates are interpolated from commonly quoted intervals published by market sources.</w:t>
      </w:r>
    </w:p>
    <w:p>
      <w:pPr>
        <w:spacing w:after="0" w:line="19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Key inputs for currency derivatives are spot rates, forward rates, interest rates, volatility, and credit default rates. The spot rate for each currency is the same spot rate used for all balance sheet translations at the measurement date. Autodesk reviews for any potential changes on a quarterly basis, in conjunction with our fiscal quarter-end close. It is Autodesk's assessment that the leveling best reflects current market activity when observing the pricing information for these assets.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6" w:right="239" w:bottom="1440" w:gutter="0" w:footer="0" w:header="0"/>
        </w:sectPr>
      </w:pPr>
    </w:p>
    <w:bookmarkStart w:id="15" w:name="page16"/>
    <w:bookmarkEnd w:id="15"/>
    <w:p>
      <w:pPr>
        <w:ind w:right="80" w:firstLine="405"/>
        <w:spacing w:after="0" w:line="257"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securities on pricing from pricing vendors, who may use quoted prices in active markets for identical assets (Level 1) or inputs other than quoted prices that are observable either directly or indirectly in determining fair value (Level 2). Autodesk's Level 2 securities and derivatives are valued primarily using observable inputs other than quoted prices in active markets for identical assets and liabilities. Autodesk's Level 3 securities consist of derivative contracts.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six months ended July 31, 2019, was as follows:</w:t>
      </w:r>
    </w:p>
    <w:p>
      <w:pPr>
        <w:spacing w:after="0" w:line="37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6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Derivative Contracts</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Convertible Debt</w:t>
            </w:r>
          </w:p>
        </w:tc>
        <w:tc>
          <w:tcPr>
            <w:tcW w:w="320" w:type="dxa"/>
            <w:vAlign w:val="bottom"/>
          </w:tcPr>
          <w:p>
            <w:pPr>
              <w:spacing w:after="0"/>
              <w:rPr>
                <w:sz w:val="13"/>
                <w:szCs w:val="13"/>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2019</w:t>
            </w:r>
          </w:p>
        </w:tc>
        <w:tc>
          <w:tcPr>
            <w:tcW w:w="680" w:type="dxa"/>
            <w:vAlign w:val="bottom"/>
            <w:tcBorders>
              <w:top w:val="single" w:sz="8" w:color="auto"/>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Impairments</w:t>
            </w:r>
          </w:p>
        </w:tc>
        <w:tc>
          <w:tcPr>
            <w:tcW w:w="6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(Loss) gain included in earnings (1)</w:t>
            </w:r>
          </w:p>
        </w:tc>
        <w:tc>
          <w:tcPr>
            <w:tcW w:w="6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included in OCI</w:t>
            </w:r>
          </w:p>
        </w:tc>
        <w:tc>
          <w:tcPr>
            <w:tcW w:w="6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6"/>
                <w:szCs w:val="16"/>
                <w:color w:val="auto"/>
              </w:rPr>
              <w:t>Balances, July 31, 2019</w:t>
            </w:r>
          </w:p>
        </w:tc>
        <w:tc>
          <w:tcPr>
            <w:tcW w:w="68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Included in "Interest and other (expense) income, net" in the accompanying Condensed Consolidated Statements of Operations.</w:t>
      </w:r>
    </w:p>
    <w:p>
      <w:pPr>
        <w:spacing w:after="0" w:line="20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As of July 31, 2019, and January 31, 2019, Autodesk had no material unrealized losses, individually and in the aggregate, for securities that are in a continuous unrealized loss position for greater than twelve months.</w:t>
      </w:r>
    </w:p>
    <w:p>
      <w:pPr>
        <w:spacing w:after="0" w:line="170" w:lineRule="exact"/>
        <w:rPr>
          <w:sz w:val="20"/>
          <w:szCs w:val="20"/>
          <w:color w:val="auto"/>
        </w:rPr>
      </w:pPr>
    </w:p>
    <w:p>
      <w:pPr>
        <w:jc w:val="both"/>
        <w:ind w:right="420" w:firstLine="405"/>
        <w:spacing w:after="0" w:line="264" w:lineRule="auto"/>
        <w:rPr>
          <w:sz w:val="20"/>
          <w:szCs w:val="20"/>
          <w:color w:val="auto"/>
        </w:rPr>
      </w:pPr>
      <w:r>
        <w:rPr>
          <w:rFonts w:ascii="Arial" w:cs="Arial" w:eastAsia="Arial" w:hAnsi="Arial"/>
          <w:sz w:val="18"/>
          <w:szCs w:val="18"/>
          <w:color w:val="auto"/>
        </w:rPr>
        <w:t>There was no gain or loss for the sales or redemptions of securities during the six months ended July 31, 2019, and July 31, 2018. Gains and losses resulting from the sale or redemption of securities are recorded in “Interest and other (expense) income, net” on the Company's Condensed Consolidated Statements of Operations.</w:t>
      </w:r>
    </w:p>
    <w:p>
      <w:pPr>
        <w:spacing w:after="0" w:line="18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three and six months ended July 31, 2019 was $22.8 million and $27.4 million, respectively, and $71.8 million and $146.6 million for the three and six months ended July 31, 2018,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Non-marketable equity securities</w:t>
      </w:r>
    </w:p>
    <w:p>
      <w:pPr>
        <w:spacing w:after="0" w:line="22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As of July 31, 2019, and January 31, 2019, Autodesk had $121.9 million and $111.6 million in direct investments in privately held companies. These non-marketable equity security investments do not have readily determined fair values and Autodesk uses the measurement alternative to account for the adjustment to these investments in a given quarter.</w:t>
      </w:r>
    </w:p>
    <w:p>
      <w:pPr>
        <w:spacing w:after="0" w:line="18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Under the measurement alternative method, these investments are measured at cost, less any impairments, plus or minus changes resulting from observable price changes in orderly transactions for the identical or similar investment of the same issuer in the current period. To determine if a transaction is deemed a similar investment, Autodesk considers the rights and obligations between the investments and the extent to which those differences would affect the fair values of those investments with additional consideration for the stage of development of the investee company. The fair value would then be adjusted positively or negatively based on available information such as pricing in recent rounds of financing. During the six months ended July 31, 2019 and July 31, 2018, Autodesk recorded $1.7 million and $6.2 million, respectively, as an upward adjustment on certain of its privately held investments, reflected as a gain in "Interest and other (expense) income, net" on the Company's Condensed Consolidated Statement of Operations. As of July 31, 2019, Autodesk has recorded $7.9 million in cumulative upward adjustments on its privately held investments.</w:t>
      </w:r>
    </w:p>
    <w:p>
      <w:pPr>
        <w:spacing w:after="0" w:line="179"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Non-marketable equity securities investments are periodically assessed for impairment based on available information such as current cash positions, earnings and cash flow positions, earnings and cash flow forecasts, recent operational performance and any other readily available market data. Autodesk does not intend to sell these investments and it is not more likely than not that Autodesk will be required to sell the investment before recovery of the cost basis. If Autodesk determines that an impairment has occurred, Autodesk writes down the investment to its fair value. During the six months ended July 31, 2019 and July 31, 2018 Autodesk recorded $3.4 million and $4.8 million, respectively, in impairments and negative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right="100"/>
        <w:spacing w:after="0" w:line="264" w:lineRule="auto"/>
        <w:rPr>
          <w:sz w:val="20"/>
          <w:szCs w:val="20"/>
          <w:color w:val="auto"/>
        </w:rPr>
      </w:pPr>
      <w:r>
        <w:rPr>
          <w:rFonts w:ascii="Arial" w:cs="Arial" w:eastAsia="Arial" w:hAnsi="Arial"/>
          <w:sz w:val="18"/>
          <w:szCs w:val="18"/>
          <w:color w:val="auto"/>
        </w:rPr>
        <w:t>adjustments on its privately held investments, reflected as a loss in "Interest and other (expense) income, net" on the Company's Condensed Consolidated Statements of Operations. As of July 31, 2019, Autodesk has recorded $8.2 million in cumulative impairments and negative adjustments on its privately held investments. Autodesk does not consider the remaining investments to be impaired at July 31, 2019.</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that exist as part of ongoing business operations. Autodesk's general practice is to hedge a portion of transaction exposures primarily denominated in euros, Japanese yen, Swiss francs, British pounds, Canadian dollars, Australian dollars, Singapore dollars, Swedish krona and Czech koruna. These instruments generally have maturities between one and twelve months in the future. Autodesk does not enter into derivative instrument transactions for trading or speculative purposes.</w:t>
      </w:r>
    </w:p>
    <w:p>
      <w:pPr>
        <w:spacing w:after="0" w:line="18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Autodesk does not have any master netting arrangements in place with collateral features.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effectiveness of the cash flow hedge contracts is assessed quantitatively using regression at inception and qualitatively thereafter considering transaction timing and probability and counterparty credit quality. To receive cash flow hedge accounting treatment, all hedging relationships are formally documented at the inception of the hedge relationship and the hedges are expected to be highly effective in offsetting changes to future cash flows on hedged transactions. The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and discloses the gain or loss on the related cash flow hedge from “Accumulated other comprehensive loss” to “Interest and other (expense) income, net” in the Company's Condensed Consolidated Financial Statements at that time.</w:t>
      </w:r>
    </w:p>
    <w:p>
      <w:pPr>
        <w:spacing w:after="0" w:line="182"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The notional amounts of these contracts are presented net settled and were $1.06 billion at July 31, 2019, and $803.5 million at January 31, 2019. Outstanding contracts are recognized as either assets or liabilities on the balance sheet at fair value. The majority of the net gain of $14.0 million remaining in “Accumulated other comprehensive loss” as of July 31, 2019, is expected to be recognized into earnings within the next twenty-four months.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jc w:val="both"/>
        <w:ind w:right="200" w:firstLine="405"/>
        <w:spacing w:after="0" w:line="264" w:lineRule="auto"/>
        <w:rPr>
          <w:sz w:val="20"/>
          <w:szCs w:val="20"/>
          <w:color w:val="auto"/>
        </w:rPr>
      </w:pPr>
      <w:r>
        <w:rPr>
          <w:rFonts w:ascii="Arial" w:cs="Arial" w:eastAsia="Arial" w:hAnsi="Arial"/>
          <w:sz w:val="18"/>
          <w:szCs w:val="18"/>
          <w:color w:val="auto"/>
        </w:rPr>
        <w:t>The location and amount of gain or (loss) recognized in income on cash flow hedges together with the total amount of income or expense presented in the Company's Condensed Consolidated Statements of Operations where the effects of the hedge are recorded were as follows for the three and six months ended July 31, 2019.</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 July 31, 2019</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Net revenue</w:t>
            </w: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8"/>
              </w:rPr>
              <w:t>Cost of revenue</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Operating expenses</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Subscription</w:t>
            </w:r>
          </w:p>
        </w:tc>
        <w:tc>
          <w:tcPr>
            <w:tcW w:w="14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Maintenance</w:t>
            </w:r>
          </w:p>
        </w:tc>
        <w:tc>
          <w:tcPr>
            <w:tcW w:w="14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w w:val="99"/>
              </w:rPr>
              <w:t>Cost of subscription</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Marketing and</w:t>
            </w:r>
          </w:p>
        </w:tc>
        <w:tc>
          <w:tcPr>
            <w:tcW w:w="12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Research and</w:t>
            </w:r>
          </w:p>
        </w:tc>
        <w:tc>
          <w:tcPr>
            <w:tcW w:w="160" w:type="dxa"/>
            <w:vAlign w:val="bottom"/>
          </w:tcPr>
          <w:p>
            <w:pPr>
              <w:spacing w:after="0"/>
              <w:rPr>
                <w:sz w:val="13"/>
                <w:szCs w:val="13"/>
                <w:color w:val="auto"/>
              </w:rPr>
            </w:pPr>
          </w:p>
        </w:tc>
        <w:tc>
          <w:tcPr>
            <w:tcW w:w="118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6"/>
              </w:rPr>
              <w:t>General and</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and maintenance</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6"/>
                <w:szCs w:val="16"/>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revenue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revenue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sales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6"/>
                <w:szCs w:val="16"/>
                <w:color w:val="auto"/>
              </w:rPr>
            </w:pPr>
          </w:p>
        </w:tc>
        <w:tc>
          <w:tcPr>
            <w:tcW w:w="118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administrative</w:t>
            </w:r>
          </w:p>
        </w:tc>
        <w:tc>
          <w:tcPr>
            <w:tcW w:w="0" w:type="dxa"/>
            <w:vAlign w:val="bottom"/>
          </w:tcPr>
          <w:p>
            <w:pPr>
              <w:spacing w:after="0"/>
              <w:rPr>
                <w:sz w:val="1"/>
                <w:szCs w:val="1"/>
                <w:color w:val="auto"/>
              </w:rPr>
            </w:pPr>
          </w:p>
        </w:tc>
      </w:tr>
      <w:tr>
        <w:trPr>
          <w:trHeight w:val="206"/>
        </w:trPr>
        <w:tc>
          <w:tcPr>
            <w:tcW w:w="2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Total amounts of income and expense line</w:t>
            </w: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items presented in the condensed</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consolidated statements of operations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 which the effects of cash flow</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hedges are recorded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663.7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103.5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316.8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215.4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84"/>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Gain (loss) on cash flow hedging</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i w:val="1"/>
                <w:iCs w:val="1"/>
                <w:color w:val="auto"/>
              </w:rPr>
              <w:t>relationships in Subtopic ASC 815-20</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20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Amount of gain (loss) reclassified</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from accumulated other</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comprehensive income into</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86"/>
        </w:trPr>
        <w:tc>
          <w:tcPr>
            <w:tcW w:w="2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Six Months Ended July 31, 2019</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Net revenue</w:t>
            </w: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8"/>
              </w:rPr>
              <w:t>Cost of revenue</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Operating expenses</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Subscription</w:t>
            </w:r>
          </w:p>
        </w:tc>
        <w:tc>
          <w:tcPr>
            <w:tcW w:w="14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maintenance</w:t>
            </w:r>
          </w:p>
        </w:tc>
        <w:tc>
          <w:tcPr>
            <w:tcW w:w="14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w w:val="99"/>
              </w:rPr>
              <w:t>Cost of subscription</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Marketing and</w:t>
            </w:r>
          </w:p>
        </w:tc>
        <w:tc>
          <w:tcPr>
            <w:tcW w:w="12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Research and</w:t>
            </w:r>
          </w:p>
        </w:tc>
        <w:tc>
          <w:tcPr>
            <w:tcW w:w="160" w:type="dxa"/>
            <w:vAlign w:val="bottom"/>
          </w:tcPr>
          <w:p>
            <w:pPr>
              <w:spacing w:after="0"/>
              <w:rPr>
                <w:sz w:val="13"/>
                <w:szCs w:val="13"/>
                <w:color w:val="auto"/>
              </w:rPr>
            </w:pPr>
          </w:p>
        </w:tc>
        <w:tc>
          <w:tcPr>
            <w:tcW w:w="118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6"/>
              </w:rPr>
              <w:t>General and</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and maintenance</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6"/>
                <w:szCs w:val="16"/>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revenue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sales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6"/>
                <w:szCs w:val="16"/>
                <w:color w:val="auto"/>
              </w:rPr>
            </w:pPr>
          </w:p>
        </w:tc>
        <w:tc>
          <w:tcPr>
            <w:tcW w:w="118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administrative</w:t>
            </w:r>
          </w:p>
        </w:tc>
        <w:tc>
          <w:tcPr>
            <w:tcW w:w="0" w:type="dxa"/>
            <w:vAlign w:val="bottom"/>
          </w:tcPr>
          <w:p>
            <w:pPr>
              <w:spacing w:after="0"/>
              <w:rPr>
                <w:sz w:val="1"/>
                <w:szCs w:val="1"/>
                <w:color w:val="auto"/>
              </w:rPr>
            </w:pPr>
          </w:p>
        </w:tc>
      </w:tr>
      <w:tr>
        <w:trPr>
          <w:trHeight w:val="206"/>
        </w:trPr>
        <w:tc>
          <w:tcPr>
            <w:tcW w:w="2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Total amounts of income and expense line</w:t>
            </w: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items presented in the condensed</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consolidated statements of operations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 which the effects of cash flow</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hedges are recorded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1,259.5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215.5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6"/>
                <w:szCs w:val="16"/>
                <w:color w:val="auto"/>
              </w:rPr>
              <w:t>112.7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630.1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421.0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200.5</w:t>
            </w:r>
          </w:p>
        </w:tc>
        <w:tc>
          <w:tcPr>
            <w:tcW w:w="0" w:type="dxa"/>
            <w:vAlign w:val="bottom"/>
          </w:tcPr>
          <w:p>
            <w:pPr>
              <w:spacing w:after="0"/>
              <w:rPr>
                <w:sz w:val="1"/>
                <w:szCs w:val="1"/>
                <w:color w:val="auto"/>
              </w:rPr>
            </w:pPr>
          </w:p>
        </w:tc>
      </w:tr>
      <w:tr>
        <w:trPr>
          <w:trHeight w:val="297"/>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Gain (loss) on cash flow hedging</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i w:val="1"/>
                <w:iCs w:val="1"/>
                <w:color w:val="auto"/>
              </w:rPr>
              <w:t>relationships in Subtopic ASC 815-20</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20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Amount of gain (loss) reclassified</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from accumulated other</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comprehensive income into</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29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payables, and cash. These forward contracts are marked-to-market at the end of each fiscal quarter with gains and losses recognized in “Interest and other (expense) income, net.” These derivative instruments do not subject the Company to material balance sheet risk due to exchange rate movements because gains and losses on these derivative instruments are intended to offset the gains or losses resulting from the revaluation and settlement of the underlying foreign currency denominated receivables, payables, and cash. The notional amounts of these foreign currency contracts are presented net settled and were $298.8 million at July 31, 2019, and $579.8 million at January 31, 2019.</w:t>
      </w:r>
    </w:p>
    <w:p>
      <w:pPr>
        <w:spacing w:after="0" w:line="178"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18" w:name="page19"/>
    <w:bookmarkEnd w:id="18"/>
    <w:p>
      <w:pPr>
        <w:ind w:right="700"/>
        <w:spacing w:after="0" w:line="277" w:lineRule="auto"/>
        <w:rPr>
          <w:sz w:val="20"/>
          <w:szCs w:val="20"/>
          <w:color w:val="auto"/>
        </w:rPr>
      </w:pPr>
      <w:r>
        <w:rPr>
          <w:rFonts w:ascii="Arial" w:cs="Arial" w:eastAsia="Arial" w:hAnsi="Arial"/>
          <w:sz w:val="18"/>
          <w:szCs w:val="18"/>
          <w:color w:val="auto"/>
        </w:rPr>
        <w:t>as of each balance sheet date and are recorded in “Other assets.” Changes in the fair values of these instruments are recognized in “Interest and other (expense) income, net.”</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July 31, 2019 and January 31, 2019:</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5620" w:type="dxa"/>
            <w:vAlign w:val="bottom"/>
          </w:tcPr>
          <w:p>
            <w:pPr>
              <w:spacing w:after="0"/>
              <w:rPr>
                <w:sz w:val="22"/>
                <w:szCs w:val="22"/>
                <w:color w:val="auto"/>
              </w:rPr>
            </w:pPr>
          </w:p>
        </w:tc>
        <w:tc>
          <w:tcPr>
            <w:tcW w:w="2740" w:type="dxa"/>
            <w:vAlign w:val="bottom"/>
            <w:gridSpan w:val="2"/>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2019</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2019</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56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current</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5620" w:type="dxa"/>
            <w:vAlign w:val="bottom"/>
          </w:tcPr>
          <w:p>
            <w:pPr>
              <w:spacing w:after="0"/>
              <w:rPr>
                <w:sz w:val="17"/>
                <w:szCs w:val="17"/>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4.3</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56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r>
      <w:tr>
        <w:trPr>
          <w:trHeight w:val="284"/>
        </w:trPr>
        <w:tc>
          <w:tcPr>
            <w:tcW w:w="56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8.5</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3.3</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r>
      <w:tr>
        <w:trPr>
          <w:trHeight w:val="244"/>
        </w:trPr>
        <w:tc>
          <w:tcPr>
            <w:tcW w:w="562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7.4</w:t>
            </w:r>
          </w:p>
        </w:tc>
      </w:tr>
      <w:tr>
        <w:trPr>
          <w:trHeight w:val="20"/>
        </w:trPr>
        <w:tc>
          <w:tcPr>
            <w:tcW w:w="5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six months ended July 31, 2019 and 2018 (amounts presented include any income tax effects):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Foreign Currency Contracts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22"/>
                <w:szCs w:val="22"/>
                <w:color w:val="auto"/>
              </w:rPr>
            </w:pPr>
          </w:p>
        </w:tc>
        <w:tc>
          <w:tcPr>
            <w:tcW w:w="24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5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1"/>
                <w:shd w:val="clear" w:color="auto" w:fill="CCEEFF"/>
              </w:rPr>
              <w:t xml:space="preserve">Amount </w:t>
            </w:r>
            <w:r>
              <w:rPr>
                <w:rFonts w:ascii="Arial" w:cs="Arial" w:eastAsia="Arial" w:hAnsi="Arial"/>
                <w:sz w:val="16"/>
                <w:szCs w:val="16"/>
                <w:i w:val="1"/>
                <w:iCs w:val="1"/>
                <w:color w:val="auto"/>
                <w:w w:val="91"/>
              </w:rPr>
              <w:t>of gain recognized in accumulated other comprehensive loss</w:t>
            </w:r>
          </w:p>
        </w:tc>
        <w:tc>
          <w:tcPr>
            <w:tcW w:w="9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1"/>
                <w:shd w:val="clear" w:color="auto" w:fill="CCEEFF"/>
              </w:rPr>
              <w:t>on derivatives</w:t>
            </w: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shd w:val="clear" w:color="auto" w:fill="CCEEFF"/>
              </w:rPr>
              <w:t>(effective portion)</w:t>
            </w:r>
          </w:p>
        </w:tc>
        <w:tc>
          <w:tcPr>
            <w:tcW w:w="106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4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6"/>
                <w:szCs w:val="16"/>
                <w:i w:val="1"/>
                <w:iCs w:val="1"/>
                <w:color w:val="auto"/>
              </w:rPr>
              <w:t>Amount and location of gain (loss) reclassified from accumulated other</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600" w:type="dxa"/>
            <w:vAlign w:val="bottom"/>
            <w:gridSpan w:val="4"/>
            <w:vMerge w:val="continue"/>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560" w:type="dxa"/>
            <w:vAlign w:val="bottom"/>
            <w:gridSpan w:val="3"/>
          </w:tcPr>
          <w:p>
            <w:pPr>
              <w:ind w:left="160"/>
              <w:spacing w:after="0"/>
              <w:rPr>
                <w:sz w:val="20"/>
                <w:szCs w:val="20"/>
                <w:color w:val="auto"/>
              </w:rPr>
            </w:pPr>
            <w:r>
              <w:rPr>
                <w:rFonts w:ascii="Arial" w:cs="Arial" w:eastAsia="Arial" w:hAnsi="Arial"/>
                <w:sz w:val="16"/>
                <w:szCs w:val="16"/>
                <w:i w:val="1"/>
                <w:iCs w:val="1"/>
                <w:color w:val="auto"/>
              </w:rPr>
              <w:t>comprehensive loss into income (loss) (effective portion)</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Net revenue</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60" w:type="dxa"/>
            <w:vAlign w:val="bottom"/>
            <w:gridSpan w:val="3"/>
          </w:tcPr>
          <w:p>
            <w:pPr>
              <w:ind w:left="340"/>
              <w:spacing w:after="0"/>
              <w:rPr>
                <w:sz w:val="20"/>
                <w:szCs w:val="20"/>
                <w:color w:val="auto"/>
              </w:rPr>
            </w:pPr>
            <w:r>
              <w:rPr>
                <w:rFonts w:ascii="Arial" w:cs="Arial" w:eastAsia="Arial" w:hAnsi="Arial"/>
                <w:sz w:val="16"/>
                <w:szCs w:val="16"/>
                <w:color w:val="auto"/>
              </w:rPr>
              <w:t>Cost of revenue</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Operating expenses</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5560" w:type="dxa"/>
            <w:vAlign w:val="bottom"/>
            <w:tcBorders>
              <w:bottom w:val="single" w:sz="8" w:color="CCEEFF"/>
            </w:tcBorders>
            <w:gridSpan w:val="3"/>
          </w:tcPr>
          <w:p>
            <w:pPr>
              <w:ind w:left="68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0"/>
        </w:trPr>
        <w:tc>
          <w:tcPr>
            <w:tcW w:w="5600" w:type="dxa"/>
            <w:vAlign w:val="bottom"/>
            <w:gridSpan w:val="4"/>
            <w:shd w:val="clear" w:color="auto" w:fill="CCEEFF"/>
          </w:tcPr>
          <w:p>
            <w:pPr>
              <w:ind w:left="40"/>
              <w:spacing w:after="0" w:line="180" w:lineRule="exact"/>
              <w:rPr>
                <w:sz w:val="20"/>
                <w:szCs w:val="20"/>
                <w:color w:val="auto"/>
              </w:rPr>
            </w:pPr>
            <w:r>
              <w:rPr>
                <w:rFonts w:ascii="Arial" w:cs="Arial" w:eastAsia="Arial" w:hAnsi="Arial"/>
                <w:sz w:val="16"/>
                <w:szCs w:val="16"/>
                <w:i w:val="1"/>
                <w:iCs w:val="1"/>
                <w:color w:val="auto"/>
              </w:rPr>
              <w:t>Amount and location of (loss) gain recognized in (loss) income on derivatives</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55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i w:val="1"/>
                <w:iCs w:val="1"/>
                <w:color w:val="auto"/>
              </w:rPr>
              <w:t>(ineffective portion and amount excluded from effectiveness testing)</w:t>
            </w:r>
          </w:p>
        </w:tc>
        <w:tc>
          <w:tcPr>
            <w:tcW w:w="9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60" w:type="dxa"/>
            <w:vAlign w:val="bottom"/>
            <w:gridSpan w:val="3"/>
          </w:tcPr>
          <w:p>
            <w:pPr>
              <w:ind w:left="140"/>
              <w:spacing w:after="0"/>
              <w:rPr>
                <w:sz w:val="20"/>
                <w:szCs w:val="20"/>
                <w:color w:val="auto"/>
              </w:rPr>
            </w:pPr>
            <w:r>
              <w:rPr>
                <w:rFonts w:ascii="Arial" w:cs="Arial" w:eastAsia="Arial" w:hAnsi="Arial"/>
                <w:sz w:val="16"/>
                <w:szCs w:val="16"/>
                <w:color w:val="auto"/>
              </w:rPr>
              <w:t>Interest and other (expense) income, net</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and six months ended July 31, 2019 and 2018 (amounts presented include any income tax effects):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6"/>
                <w:szCs w:val="16"/>
                <w:color w:val="auto"/>
              </w:rPr>
            </w:pPr>
          </w:p>
        </w:tc>
        <w:tc>
          <w:tcPr>
            <w:tcW w:w="2500" w:type="dxa"/>
            <w:vAlign w:val="bottom"/>
            <w:gridSpan w:val="4"/>
          </w:tcPr>
          <w:p>
            <w:pPr>
              <w:jc w:val="right"/>
              <w:ind w:right="483"/>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56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2018</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gain recognized on derivatives in net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Interest and other (expense) income, net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5"/>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left="220" w:right="8560" w:hanging="212"/>
        <w:spacing w:after="0" w:line="501" w:lineRule="auto"/>
        <w:tabs>
          <w:tab w:leader="none" w:pos="184"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Stock Options:</w:t>
      </w:r>
    </w:p>
    <w:p>
      <w:pPr>
        <w:ind w:left="440"/>
        <w:spacing w:after="0"/>
        <w:rPr>
          <w:sz w:val="20"/>
          <w:szCs w:val="20"/>
          <w:color w:val="auto"/>
        </w:rPr>
      </w:pPr>
      <w:r>
        <w:rPr>
          <w:rFonts w:ascii="Arial" w:cs="Arial" w:eastAsia="Arial" w:hAnsi="Arial"/>
          <w:sz w:val="18"/>
          <w:szCs w:val="18"/>
          <w:color w:val="auto"/>
        </w:rPr>
        <w:t>A summary of stock option activity for the six months ended July 31,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per</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contractual</w:t>
            </w:r>
          </w:p>
        </w:tc>
        <w:tc>
          <w:tcPr>
            <w:tcW w:w="180" w:type="dxa"/>
            <w:vAlign w:val="bottom"/>
          </w:tcPr>
          <w:p>
            <w:pPr>
              <w:spacing w:after="0"/>
              <w:rPr>
                <w:sz w:val="12"/>
                <w:szCs w:val="12"/>
                <w:color w:val="auto"/>
              </w:rPr>
            </w:pPr>
          </w:p>
        </w:tc>
        <w:tc>
          <w:tcPr>
            <w:tcW w:w="1060" w:type="dxa"/>
            <w:vAlign w:val="bottom"/>
          </w:tcPr>
          <w:p>
            <w:pPr>
              <w:jc w:val="right"/>
              <w:ind w:right="283"/>
              <w:spacing w:after="0" w:line="149" w:lineRule="exact"/>
              <w:rPr>
                <w:sz w:val="20"/>
                <w:szCs w:val="20"/>
                <w:color w:val="auto"/>
              </w:rPr>
            </w:pPr>
            <w:r>
              <w:rPr>
                <w:rFonts w:ascii="Arial" w:cs="Arial" w:eastAsia="Arial" w:hAnsi="Arial"/>
                <w:sz w:val="14"/>
                <w:szCs w:val="14"/>
                <w:b w:val="1"/>
                <w:bCs w:val="1"/>
                <w:color w:val="auto"/>
              </w:rPr>
              <w:t>value (1)</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5"/>
              </w:rPr>
              <w:t>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2019</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23.95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July 31, 2019</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0.6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0"/>
              <w:spacing w:after="0"/>
              <w:rPr>
                <w:sz w:val="20"/>
                <w:szCs w:val="20"/>
                <w:color w:val="auto"/>
              </w:rPr>
            </w:pPr>
            <w:r>
              <w:rPr>
                <w:rFonts w:ascii="Arial" w:cs="Arial" w:eastAsia="Arial" w:hAnsi="Arial"/>
                <w:sz w:val="16"/>
                <w:szCs w:val="16"/>
                <w:color w:val="auto"/>
              </w:rPr>
              <w:t>Options vested and exercisable at July 31, 2019</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2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32.71</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available for grant at July 31, 2019</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$156.17 per share as of July 31, 2019.</w:t>
      </w:r>
    </w:p>
    <w:p>
      <w:pPr>
        <w:spacing w:after="0" w:line="20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As of July 31, 2019, compensation cost of $42.3 million related to non-vested stock options is expected to be recognized over a weighted average period of 2.3 years.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about the pre-tax intrinsic value of options exercised during the six months ended July 31, 2019 and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22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w:t>
            </w:r>
          </w:p>
        </w:tc>
      </w:tr>
      <w:tr>
        <w:trPr>
          <w:trHeight w:val="33"/>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activity for the six months ended July 31, 2019,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Unvested restricted stock units at January 31, 2019</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4,287.4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120.07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1,349.0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159.87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113.27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(205.5)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125.53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Performance Adjustment (1)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156.69</w:t>
            </w:r>
          </w:p>
        </w:tc>
        <w:tc>
          <w:tcPr>
            <w:tcW w:w="0" w:type="dxa"/>
            <w:vAlign w:val="bottom"/>
          </w:tcPr>
          <w:p>
            <w:pPr>
              <w:spacing w:after="0"/>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Unvested restricted stock units at July 31, 2019</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4,912.6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131.82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340" w:hanging="412"/>
        <w:spacing w:after="0" w:line="263"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2019 performance period. The performance stock units were attained at rates ranging from 105.2% to 122.5% of the target award.</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The fair value of the shares vested during the six months ended July 31, 2019 and 2018, was $84.3 million and $133.7 million, respectively.</w:t>
      </w:r>
    </w:p>
    <w:p>
      <w:pPr>
        <w:spacing w:after="0" w:line="23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During the six months ended July 31, 2019, Autodesk granted 0.8 million restricted stock units. Autodesk recorded stock-based compensation expense related to restricted stock units of $58.9 million and $44.1 million during the three months ended July 31, 2019 and 2018, respectively. Autodesk recorded stock-based compensation expense related to restricted stock units of $113.3 million and $85.8 million during the six months ended July 31, 2019 and 2018,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right="160" w:firstLine="405"/>
        <w:spacing w:after="0" w:line="297" w:lineRule="auto"/>
        <w:rPr>
          <w:sz w:val="20"/>
          <w:szCs w:val="20"/>
          <w:color w:val="auto"/>
        </w:rPr>
      </w:pPr>
      <w:r>
        <w:rPr>
          <w:rFonts w:ascii="Arial" w:cs="Arial" w:eastAsia="Arial" w:hAnsi="Arial"/>
          <w:sz w:val="16"/>
          <w:szCs w:val="16"/>
          <w:color w:val="auto"/>
        </w:rPr>
        <w:t>During the six months ended July 31, 2019, Autodesk granted 0.3 million performance stock units for which the ultimate number of shares earned is determined based on the achievement of performance criteria at the end of the stated service and performance period. The performance criteria for the performance stock units are based on Annualized Recurring Revenue ("ARR") and free cash flow goals adopted by the Compensation and Human Resource Committee, as well as total stockholder return compared against companies in the S&amp;P North American Technology Software Index with a market capitalization over $2.0 billion (“Relative TSR”). These performance stock units vest over a three-year period and have the following vesting schedule:</w:t>
      </w:r>
    </w:p>
    <w:p>
      <w:pPr>
        <w:spacing w:after="0" w:line="158" w:lineRule="exact"/>
        <w:rPr>
          <w:sz w:val="20"/>
          <w:szCs w:val="20"/>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2020 as well as 1-year Relative TSR (covering year one).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84"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Autodesk also granted 0.3 million performance stock units for which the ultimate number of shares earned is based on the Autodesk closing stock price on each vesting date. As these awards will be settled in a fixed dollar amount of shares, the awards are accounted for as a liability-classified award.</w:t>
      </w:r>
    </w:p>
    <w:p>
      <w:pPr>
        <w:spacing w:after="0" w:line="12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Performance stock units are not considered outstanding stock at the time of grant, as the holders of these units are not entitled to any of the rights of a stockholder, including voting rights. Autodesk has determined the grant date fair value for these awards using the stock price on the date of grant or if the awards are also subject to a market condition, a Monte Carlo simulation model. The fair value of the performance stock units is expensed using the accelerated attribution over the vesting period.</w:t>
      </w:r>
    </w:p>
    <w:p>
      <w:pPr>
        <w:spacing w:after="0" w:line="18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Autodesk recorded stock-based compensation expense related to performance stock units of $11.0 million and $5.9 million for the three months ended July 31, 2019 and 2018, respectively. Autodesk recorded stock-based compensation expense related to performance stock units of $17.5 million and $12.4 million for the six months ended July 31, 2019 and 2018, respectively.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ESPP activity for the six months ended July 31, 2019 and 2018,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4"/>
                <w:szCs w:val="14"/>
                <w:b w:val="1"/>
                <w:bCs w:val="1"/>
                <w:color w:val="auto"/>
              </w:rPr>
              <w:t>Six Months Ended July 31,</w:t>
            </w:r>
          </w:p>
        </w:tc>
        <w:tc>
          <w:tcPr>
            <w:tcW w:w="5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Issued shares (in millions)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Average price of issued shares</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99.46</w:t>
            </w:r>
          </w:p>
        </w:tc>
        <w:tc>
          <w:tcPr>
            <w:tcW w:w="120" w:type="dxa"/>
            <w:vAlign w:val="bottom"/>
          </w:tcPr>
          <w:p>
            <w:pPr>
              <w:spacing w:after="0"/>
              <w:rPr>
                <w:sz w:val="20"/>
                <w:szCs w:val="20"/>
                <w:color w:val="auto"/>
              </w:rPr>
            </w:pP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88.45</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of awards granted under the ESPP (1)</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52.41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37.64</w:t>
            </w:r>
          </w:p>
        </w:tc>
      </w:tr>
      <w:tr>
        <w:trPr>
          <w:trHeight w:val="220"/>
        </w:trPr>
        <w:tc>
          <w:tcPr>
            <w:tcW w:w="834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Calculated as of the award grant date using the Black-Scholes Merton (“BSM") option pricing model.</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stock-based compensation expense for the three and six months ended July 31, 2019 and 2018, respectively,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Three Months Ended July 31,</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subscription and maintenance revenue</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Cost of other revenue</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200"/>
              <w:spacing w:after="0"/>
              <w:rPr>
                <w:sz w:val="20"/>
                <w:szCs w:val="20"/>
                <w:color w:val="auto"/>
              </w:rPr>
            </w:pPr>
            <w:r>
              <w:rPr>
                <w:rFonts w:ascii="Arial" w:cs="Arial" w:eastAsia="Arial" w:hAnsi="Arial"/>
                <w:sz w:val="16"/>
                <w:szCs w:val="16"/>
                <w:color w:val="auto"/>
              </w:rPr>
              <w:t>purchases</w:t>
            </w:r>
          </w:p>
        </w:tc>
        <w:tc>
          <w:tcPr>
            <w:tcW w:w="98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w:t>
            </w:r>
          </w:p>
        </w:tc>
        <w:tc>
          <w:tcPr>
            <w:tcW w:w="980" w:type="dxa"/>
            <w:vAlign w:val="bottom"/>
            <w:tcBorders>
              <w:top w:val="single" w:sz="8" w:color="auto"/>
            </w:tcBorders>
            <w:vMerge w:val="restart"/>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88.1</w:t>
            </w:r>
          </w:p>
        </w:tc>
        <w:tc>
          <w:tcPr>
            <w:tcW w:w="120" w:type="dxa"/>
            <w:vAlign w:val="bottom"/>
          </w:tcPr>
          <w:p>
            <w:pPr>
              <w:spacing w:after="0"/>
              <w:rPr>
                <w:sz w:val="17"/>
                <w:szCs w:val="17"/>
                <w:color w:val="auto"/>
              </w:rPr>
            </w:pPr>
          </w:p>
        </w:tc>
        <w:tc>
          <w:tcPr>
            <w:tcW w:w="980" w:type="dxa"/>
            <w:vAlign w:val="bottom"/>
            <w:tcBorders>
              <w:top w:val="single" w:sz="8" w:color="auto"/>
            </w:tcBorders>
            <w:vMerge w:val="restart"/>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24"/>
        </w:trPr>
        <w:tc>
          <w:tcPr>
            <w:tcW w:w="5160" w:type="dxa"/>
            <w:vAlign w:val="bottom"/>
          </w:tcPr>
          <w:p>
            <w:pPr>
              <w:ind w:left="200"/>
              <w:spacing w:after="0"/>
              <w:rPr>
                <w:sz w:val="20"/>
                <w:szCs w:val="20"/>
                <w:color w:val="auto"/>
              </w:rPr>
            </w:pPr>
            <w:r>
              <w:rPr>
                <w:rFonts w:ascii="Arial" w:cs="Arial" w:eastAsia="Arial" w:hAnsi="Arial"/>
                <w:sz w:val="16"/>
                <w:szCs w:val="16"/>
                <w:color w:val="auto"/>
              </w:rPr>
              <w:t>purchases, net of tax</w:t>
            </w:r>
          </w:p>
        </w:tc>
        <w:tc>
          <w:tcPr>
            <w:tcW w:w="98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Six Months Ended July 31, 2019</w:t>
            </w:r>
          </w:p>
        </w:tc>
        <w:tc>
          <w:tcPr>
            <w:tcW w:w="100" w:type="dxa"/>
            <w:vAlign w:val="bottom"/>
          </w:tcPr>
          <w:p>
            <w:pPr>
              <w:spacing w:after="0"/>
              <w:rPr>
                <w:sz w:val="16"/>
                <w:szCs w:val="16"/>
                <w:color w:val="auto"/>
              </w:rPr>
            </w:pPr>
          </w:p>
        </w:tc>
        <w:tc>
          <w:tcPr>
            <w:tcW w:w="33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Six Months Ended July 31, 2018</w:t>
            </w:r>
          </w:p>
        </w:tc>
        <w:tc>
          <w:tcPr>
            <w:tcW w:w="0" w:type="dxa"/>
            <w:vAlign w:val="bottom"/>
          </w:tcPr>
          <w:p>
            <w:pPr>
              <w:spacing w:after="0"/>
              <w:rPr>
                <w:sz w:val="1"/>
                <w:szCs w:val="1"/>
                <w:color w:val="auto"/>
              </w:rPr>
            </w:pPr>
          </w:p>
        </w:tc>
      </w:tr>
      <w:tr>
        <w:trPr>
          <w:trHeight w:val="152"/>
        </w:trPr>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7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ESPP (1)</w:t>
            </w:r>
          </w:p>
        </w:tc>
        <w:tc>
          <w:tcPr>
            <w:tcW w:w="17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6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ESPP (1)</w:t>
            </w:r>
          </w:p>
        </w:tc>
        <w:tc>
          <w:tcPr>
            <w:tcW w:w="0" w:type="dxa"/>
            <w:vAlign w:val="bottom"/>
          </w:tcPr>
          <w:p>
            <w:pPr>
              <w:spacing w:after="0"/>
              <w:rPr>
                <w:sz w:val="1"/>
                <w:szCs w:val="1"/>
                <w:color w:val="auto"/>
              </w:rPr>
            </w:pPr>
          </w:p>
        </w:tc>
      </w:tr>
      <w:tr>
        <w:trPr>
          <w:trHeight w:val="192"/>
        </w:trPr>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Units (1)</w:t>
            </w:r>
          </w:p>
        </w:tc>
        <w:tc>
          <w:tcPr>
            <w:tcW w:w="1720" w:type="dxa"/>
            <w:vAlign w:val="bottom"/>
            <w:gridSpan w:val="2"/>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Units (1)</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36.3%</w:t>
            </w:r>
          </w:p>
        </w:tc>
        <w:tc>
          <w:tcPr>
            <w:tcW w:w="12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36.6 - 39.7%</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35.7%</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33.5 - 37.5%</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6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7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1480" w:type="dxa"/>
            <w:vAlign w:val="bottom"/>
          </w:tcPr>
          <w:p>
            <w:pPr>
              <w:jc w:val="center"/>
              <w:spacing w:after="0"/>
              <w:rPr>
                <w:sz w:val="20"/>
                <w:szCs w:val="20"/>
                <w:color w:val="auto"/>
              </w:rPr>
            </w:pPr>
            <w:r>
              <w:rPr>
                <w:rFonts w:ascii="Arial" w:cs="Arial" w:eastAsia="Arial" w:hAnsi="Arial"/>
                <w:sz w:val="16"/>
                <w:szCs w:val="16"/>
                <w:color w:val="auto"/>
                <w:w w:val="93"/>
              </w:rPr>
              <w:t>2.5%</w:t>
            </w:r>
          </w:p>
        </w:tc>
        <w:tc>
          <w:tcPr>
            <w:tcW w:w="12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2.4 - 2.5%</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1.9 - 2.3%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-664210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-321310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20"/>
            <w:col w:w="6620"/>
          </w:cols>
          <w:pgMar w:left="240" w:top="584"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420" w:right="60" w:hanging="412"/>
        <w:spacing w:after="0" w:line="263"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were no performance stock units or ESPP awards granted for the three months ended July 31, 2019 and 2018 where the fair value was estimated by a Monte Carlo simulation model or a BSM option pricing model, respectively.</w:t>
      </w:r>
    </w:p>
    <w:p>
      <w:pPr>
        <w:spacing w:after="0" w:line="17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North American Technology Software Index with a market capitalization over $2.0 billion, depending on the award type.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Autodesk accounts for forfeitures of our stock-based awards as those forfeitures occur.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7. Income Tax</w:t>
      </w:r>
    </w:p>
    <w:p>
      <w:pPr>
        <w:spacing w:after="0" w:line="225" w:lineRule="exact"/>
        <w:rPr>
          <w:sz w:val="20"/>
          <w:szCs w:val="20"/>
          <w:color w:val="auto"/>
        </w:rPr>
      </w:pPr>
    </w:p>
    <w:p>
      <w:pPr>
        <w:ind w:right="120" w:firstLine="467"/>
        <w:spacing w:after="0" w:line="276" w:lineRule="auto"/>
        <w:rPr>
          <w:sz w:val="20"/>
          <w:szCs w:val="20"/>
          <w:color w:val="auto"/>
        </w:rPr>
      </w:pPr>
      <w:r>
        <w:rPr>
          <w:rFonts w:ascii="Arial" w:cs="Arial" w:eastAsia="Arial" w:hAnsi="Arial"/>
          <w:sz w:val="17"/>
          <w:szCs w:val="17"/>
          <w:color w:val="auto"/>
        </w:rPr>
        <w:t>Autodesk had income tax expense of $26.3 million, relative to pre-tax income of $66.5 million for the three months ended July 31, 2019, and income tax expense of $16.0 million, relative to pre-tax losses of $23.4 million for the three months ended July 31, 2018. Autodesk had income tax expense of $59.1 million, relative to pre-tax income of $75.1 million for the six months ended July 31, 2019, and income tax expense of $34.6 million, relative to pre-tax loss of $87.2 million for the six months ended July 31, 2018. Income tax expense for the three and six months ended July 31, 2019, increased primarily due to increased foreign income taxes as a result of the increased foreign earnings and withholding taxes.</w:t>
      </w:r>
    </w:p>
    <w:p>
      <w:pPr>
        <w:spacing w:after="0" w:line="18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as a significant source of negative evidence and maintained a valuation allowance against our deferred tax attributes in the U.S. and certain foreign jurisdictions as of July 31, 2019.</w:t>
      </w:r>
    </w:p>
    <w:p>
      <w:pPr>
        <w:spacing w:after="0" w:line="188"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As of July 31, 2019, the Company had $214.4 million of gross unrecognized tax benefits, of which $196.7 million would reduce our valuation allowance, if recognized. The remaining $17.7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Customer relationships, trade names, patents, and user lists,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2019</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2019</w:t>
            </w:r>
          </w:p>
        </w:tc>
      </w:tr>
      <w:tr>
        <w:trPr>
          <w:trHeight w:val="223"/>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668.3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670.2</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529.2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533.1</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1,197.5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1,203.3</w:t>
            </w:r>
          </w:p>
        </w:tc>
      </w:tr>
      <w:tr>
        <w:trPr>
          <w:trHeight w:val="270"/>
        </w:trPr>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(922.5)</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243.2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280.8</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584" w:right="239" w:bottom="1440" w:gutter="0" w:footer="0" w:header="0"/>
          <w:type w:val="continuous"/>
        </w:sectPr>
      </w:pPr>
    </w:p>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Goodwill consists of the excess of the consideration transferred over the fair value of net assets acquired in business combinations. The following table summarizes the changes in the carrying amount of goodwill for the six months ended July 31, 2019:</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2019</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Less: accumulated impairment losses as of January 31, 2019</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balance as of January 31, 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2,450.8</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Effect of foreign currency translation and measurement period adjustments (1)</w:t>
            </w: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2019</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2,431.8</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right="180" w:firstLine="8"/>
        <w:spacing w:after="0" w:line="263" w:lineRule="auto"/>
        <w:tabs>
          <w:tab w:leader="none" w:pos="392"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Measurement period adjustments reflect revisions made to the Company's preliminary determination of estimated fair value of assets and liabilities assumed during the six months ending July 31, 2019.</w:t>
      </w:r>
    </w:p>
    <w:p>
      <w:pPr>
        <w:spacing w:after="0" w:line="150"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Autodesk operates as a single operating segment and single reporting unit. As such, when Autodesk tests goodwill for impairment annually in its fourth fiscal quarter, it is performed on the Company's single reporting unit. Autodesk performs impairment testing more often if circumstances indicate a potential impairment may exist, or if events have affected the composition of reporting units.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type w:val="continuous"/>
        </w:sectPr>
      </w:pPr>
    </w:p>
    <w:bookmarkStart w:id="23" w:name="page24"/>
    <w:bookmarkEnd w:id="23"/>
    <w:p>
      <w:pPr>
        <w:ind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93"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4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Goodwill impairment exists when the estimated fair value of goodwill is less than its carrying value. If impairment exists, the carrying value of the goodwill is reduced to fair value through an impairment charge recorded in our Condensed Consolidated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goodwill impairment during the three and six months ended July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220" w:firstLine="432"/>
        <w:spacing w:after="0" w:line="293" w:lineRule="auto"/>
        <w:rPr>
          <w:sz w:val="20"/>
          <w:szCs w:val="20"/>
          <w:color w:val="auto"/>
        </w:rPr>
      </w:pPr>
      <w:r>
        <w:rPr>
          <w:rFonts w:ascii="Arial" w:cs="Arial" w:eastAsia="Arial" w:hAnsi="Arial"/>
          <w:sz w:val="16"/>
          <w:szCs w:val="16"/>
          <w:color w:val="auto"/>
        </w:rPr>
        <w:t>At July 31, 2019, Autodesk had marketable securities totaling $67.4 million, all of which related to investments in debt and equity securities that are held in a rabbi trust under non-qualified deferred compensation plans. Of the $67.4 million related to the deferred compensation liability at July 31, 2019, $6.2 million was classified as current and $61.2 million was classified as non-current liabilities. Of the $60.3 million related to the deferred compensation liability at January 31, 2019, $5.0 million was classified as current and $55.3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440" w:firstLine="405"/>
        <w:spacing w:after="0" w:line="290" w:lineRule="auto"/>
        <w:rPr>
          <w:sz w:val="20"/>
          <w:szCs w:val="20"/>
          <w:color w:val="auto"/>
        </w:rPr>
      </w:pPr>
      <w:r>
        <w:rPr>
          <w:rFonts w:ascii="Arial" w:cs="Arial" w:eastAsia="Arial" w:hAnsi="Arial"/>
          <w:sz w:val="16"/>
          <w:szCs w:val="16"/>
          <w:color w:val="auto"/>
        </w:rPr>
        <w:t>Sales commissions earned by our internal sales personnel and our reseller partners are considered incremental and recoverable costs of obtaining a contract with a customer. The commission costs are capitalized and included in "Prepaid expenses and other current assets" and "Other assets" on our Condensed Consolidated Balance Sheets. The deferred costs are then amortized over the period of benefit. Autodesk determined that sales commissions earned by internal sales personnel that are related to contract renewals are commensurate with sales commissions earned on the initial contracts, and we determined the period of benefit to be the term of the respective customer contract. Commissions paid to our reseller partners that are related to contract renewals are not commensurate with commissions earned on the initial contract, and we determined the estimated period of benefit by taking into consideration customer retention data, customer contracts, our technology and other factors. Deferred costs are periodically reviewed for impairment. Amortization expense is included in sales and marketing expenses in the Condensed Consolidated Statements of Operations.</w:t>
      </w:r>
    </w:p>
    <w:p>
      <w:pPr>
        <w:spacing w:after="0" w:line="166"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ending balance of assets recognized from costs to obtain a contract with a customer was $78.6 million as of July 31, 2019, and $93.0 million as of January 31, 2019. Amortization expense related to assets recognized from costs to obtain a contract with a customer was $25.5 million and $50.2 million during the three and six months ended July 31, 2019, respectively. Amortization expense related to assets recognized from costs to obtain a contract with a customer was $26.9 million and $53.1 million during the three and six months ended July 31, 2018, respectively. Autodesk did not recognize any contract cost impairment losses during the six months ended July 31, 2019 and 2018.</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2019</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2019</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66.7</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67.2</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(422.2)</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149.7</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In December 2018, Autodesk entered into a credit agreement by and among Autodesk, the lenders from time to time party thereto and Citibank, N.A., as agent, which provides for an unsecured revolving loan facility in the aggregate principal amount of $650.0 million with an option, subject to customary conditions, to request an increase in the amount of the credit facility by up to an additional $350.0 million, and is available for working capital or other business needs. The credit agreement replaced and terminated Autodesk’s prior $400.0 million revolving credit facility.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financial covenants consist of (1) a minimum interest coverage ratio of 2.50:1.0 starting with the fiscal quarter ending January 31, 2019, and increasing to 3.00:1.0 starting with the fiscal quarter ending April 30, 2019, and (2) a maximum leverage ratio of 3.50:1.0 starting with the fiscal quarter ending July 31, 2019, and dropping to</w:t>
      </w:r>
    </w:p>
    <w:p>
      <w:pPr>
        <w:spacing w:after="0" w:line="1"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3.00:1.0 in the fiscal quarter ending January 31, 2020. At July 31, 2019, Autodesk was in compliance with the credit agreement covenants. Revolving loans under the credit agreement bear interest, at Autodesk's option, at either (i) a floating rate per annum equal to the base rate plus a margin of between 0.000% and 0.500%, depending on Autodesk’s Public Debt Rating (as defined in the credit agreement) or (ii) a per annum rate equal to the rate at which dollar deposits are offered in the London interbank market, plus a margin of between 0.900% and 1.500%, depending on Autodesk’s Public Debt Rating. The maturity date on the credit agreement is December 2023. At July 31, 2019, Autodesk had no outstanding borrowings under the credit agreement.</w:t>
      </w:r>
    </w:p>
    <w:p>
      <w:pPr>
        <w:spacing w:after="0" w:line="163"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In December 2018, Autodesk also entered into a Term Loan Agreement by and among Autodesk, the lenders from time to time party thereto and Citibank, N.A., as agent, which provides for a delayed draw term loan facility in the aggregate principal amount of $500.0 million and was borrowed in full to consummate the PlanGrid, Inc. acquisition. The term loan bears interest, at Autodesk's option, at either (i) a floating rate per annum equal to the base rate plus a margin between 0.000% and 0.625%, depending on Autodesk's Public Debt Rating or (ii) a per annum rate equal to the rate at which dollar deposits are offered in the London interbank market, plus a margin of between 0.875% and 1.625%, depending on Autodesk's Public Debt Rating. Based on Autodesk's current credit ratings the term loan bears interest at a per annum rate equal to the rate at which dollar deposits are offered in the London interbank market, plus a margin of 1.125% per annum. Interest under the term loan was 3.398% at July 31, 2019. The Term Loan Agreement contains customary covenants that could, among other things, restrict the imposition of liens on Autodesk's assets, and restrict Autodesk’s ability to incur additional indebtedness or make dispositions of assets if Autodesk fails to maintain the financial covenants. The Term Loan Agreement has the same financial covenants as those included in the credit agreement governing its revolving loan facility described above. The term loan will mature on December 2020 and will not be subject to amortization prior to the maturity date. As of July 31, 2019, $250.0 million remains outstanding under the term loan.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right="20" w:firstLine="405"/>
        <w:spacing w:after="0" w:line="289" w:lineRule="auto"/>
        <w:rPr>
          <w:sz w:val="20"/>
          <w:szCs w:val="20"/>
          <w:color w:val="auto"/>
        </w:rPr>
      </w:pPr>
      <w:r>
        <w:rPr>
          <w:rFonts w:ascii="Arial" w:cs="Arial" w:eastAsia="Arial" w:hAnsi="Arial"/>
          <w:sz w:val="16"/>
          <w:szCs w:val="16"/>
          <w:color w:val="auto"/>
        </w:rPr>
        <w:t>In June 2017, Autodesk issued $500.0 million aggregate principal amount of 3.5% notes due June 15, 2027 (collectively,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 Autodesk may redeem the 2017 Notes at any time, subject to a make whole premium. In addition, upon the occurrence of certain change of control triggering events, Autodesk may be required to repurchase the 2017 Notes at a price equal to 101% of their principal amount, plus accrued and unpaid interest to the date of repurchase. The 2017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2017 Notes was approximately $508.9 million as of July 31, 2019.</w:t>
      </w:r>
    </w:p>
    <w:p>
      <w:pPr>
        <w:spacing w:after="0" w:line="167"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and $300.0 million aggregate principal amount of 4.375% notes due June 15, 2025 (collectively, the “2015 Notes”). Net of a discount of $1.7 million and issuance costs of $6.3 million, Autodesk received net proceeds of $742.0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$772.5 million as of July 31, 2019. As of July 31, 2019, the $450.0 million 3.125% notes due June 15, 2020 are recorded in the Condensed Consolidated Balance Sheets under "Current portion of long-term notes payable, net," and the weighted average interest rate was 4.375%.</w:t>
      </w:r>
    </w:p>
    <w:p>
      <w:pPr>
        <w:spacing w:after="0" w:line="181"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December 2012, Autodesk issued $400.0 million aggregate principal amount of 1.95% notes due December 15, 2017 ("$400.0 million 2012 Notes") and $350.0 million aggregate principal amount of 3.6% notes due December 15, 2022 ("$350.0 million 2012 Notes" and collectively with the $400.0 million 2012 Notes,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On July 27, 2017, Autodesk redeemed in full the $400.0 million 2012 Notes. The redemption was completed pursuant to the optional redemption provisions of the first supplemental indenture dated December 13, 2012. To redeem the notes, Autodesk used the proceeds of the 2017 Notes to pay a redemption price of approximately $400.9 million, plus accrued and unpaid interest. Total cash repayment was $401.8 million. The Company did not incur any additional early termination penalties in connection with such redemption. Based on the quoted market price, the fair value of the $350.0 million 2012 Notes was approximately $358.1 million as of July 31,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Leases</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Autodesk has operating leases for real estate, vehicles and certain equipment. Leases have remaining lease terms of less than 1 year to 71 years, some of which include options to extend the lease with renewal terms from 1 year to 10 years and some of which include options to terminate the leases from less than 1 year to 11 years. Options to extend the lease are included in the lease liability if they are reasonably certain of being exercised. Options to terminate are considered in determining the lease liability if they are reasonably certain of being exercised. The Company’s lease contracts include obligations to pay for other services, such as operations and maintenance. The Company’s leases do not contain residual value guarantees or material restrictive covenants.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left="420"/>
        <w:spacing w:after="0"/>
        <w:rPr>
          <w:sz w:val="20"/>
          <w:szCs w:val="20"/>
          <w:color w:val="auto"/>
        </w:rPr>
      </w:pPr>
      <w:r>
        <w:rPr>
          <w:rFonts w:ascii="Arial" w:cs="Arial" w:eastAsia="Arial" w:hAnsi="Arial"/>
          <w:sz w:val="18"/>
          <w:szCs w:val="18"/>
          <w:color w:val="auto"/>
        </w:rPr>
        <w:t>The components of lease cost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 July 31, 2019</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7"/>
              </w:rPr>
              <w:t>Cost of</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subscription and</w:t>
            </w:r>
          </w:p>
        </w:tc>
        <w:tc>
          <w:tcPr>
            <w:tcW w:w="16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Cost of other</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Marketing and</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Research and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General and</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maintenance</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revenue</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sales</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development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administrative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Variable lease cost</w:t>
            </w:r>
          </w:p>
        </w:tc>
        <w:tc>
          <w:tcPr>
            <w:tcW w:w="100" w:type="dxa"/>
            <w:vAlign w:val="bottom"/>
          </w:tcPr>
          <w:p>
            <w:pPr>
              <w:spacing w:after="0"/>
              <w:rPr>
                <w:sz w:val="20"/>
                <w:szCs w:val="20"/>
                <w:color w:val="auto"/>
              </w:rPr>
            </w:pPr>
          </w:p>
        </w:tc>
        <w:tc>
          <w:tcPr>
            <w:tcW w:w="1180" w:type="dxa"/>
            <w:vAlign w:val="bottom"/>
          </w:tcPr>
          <w:p>
            <w:pPr>
              <w:jc w:val="right"/>
              <w:ind w:right="45"/>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432"/>
        </w:trPr>
        <w:tc>
          <w:tcPr>
            <w:tcW w:w="3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 July 31, 2019</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7"/>
              </w:rPr>
              <w:t>Cost of</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subscription and</w:t>
            </w:r>
          </w:p>
        </w:tc>
        <w:tc>
          <w:tcPr>
            <w:tcW w:w="16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Cost of other</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Marketing and</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Research and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General and</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maintenance</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revenue</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sales</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development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administrative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Variable lease cost</w:t>
            </w:r>
          </w:p>
        </w:tc>
        <w:tc>
          <w:tcPr>
            <w:tcW w:w="100" w:type="dxa"/>
            <w:vAlign w:val="bottom"/>
          </w:tcPr>
          <w:p>
            <w:pPr>
              <w:spacing w:after="0"/>
              <w:rPr>
                <w:sz w:val="20"/>
                <w:szCs w:val="20"/>
                <w:color w:val="auto"/>
              </w:rPr>
            </w:pPr>
          </w:p>
        </w:tc>
        <w:tc>
          <w:tcPr>
            <w:tcW w:w="1180" w:type="dxa"/>
            <w:vAlign w:val="bottom"/>
          </w:tcPr>
          <w:p>
            <w:pPr>
              <w:jc w:val="right"/>
              <w:ind w:right="45"/>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operating cash flow information related to leases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9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July 31,</w:t>
            </w:r>
          </w:p>
        </w:tc>
      </w:tr>
      <w:tr>
        <w:trPr>
          <w:trHeight w:val="250"/>
        </w:trPr>
        <w:tc>
          <w:tcPr>
            <w:tcW w:w="99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2019</w:t>
            </w:r>
          </w:p>
        </w:tc>
      </w:tr>
      <w:tr>
        <w:trPr>
          <w:trHeight w:val="23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operating leases included in operating cash flows(1)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45.9</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Non-cash operating lease liabilities arising from obtaining operating lease right-of-use assets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4"/>
              <w:spacing w:after="0"/>
              <w:rPr>
                <w:sz w:val="20"/>
                <w:szCs w:val="20"/>
                <w:color w:val="auto"/>
              </w:rPr>
            </w:pPr>
            <w:r>
              <w:rPr>
                <w:rFonts w:ascii="Arial" w:cs="Arial" w:eastAsia="Arial" w:hAnsi="Arial"/>
                <w:sz w:val="16"/>
                <w:szCs w:val="16"/>
                <w:color w:val="auto"/>
              </w:rPr>
              <w:t>53.0</w:t>
            </w:r>
          </w:p>
        </w:tc>
      </w:tr>
      <w:tr>
        <w:trPr>
          <w:trHeight w:val="249"/>
        </w:trPr>
        <w:tc>
          <w:tcPr>
            <w:tcW w:w="9940" w:type="dxa"/>
            <w:vAlign w:val="bottom"/>
          </w:tcPr>
          <w:p>
            <w:pPr>
              <w:jc w:val="right"/>
              <w:ind w:right="8416"/>
              <w:spacing w:after="0"/>
              <w:rPr>
                <w:sz w:val="20"/>
                <w:szCs w:val="20"/>
                <w:color w:val="auto"/>
              </w:rPr>
            </w:pPr>
            <w:r>
              <w:rPr>
                <w:rFonts w:ascii="Arial" w:cs="Arial" w:eastAsia="Arial" w:hAnsi="Arial"/>
                <w:sz w:val="18"/>
                <w:szCs w:val="18"/>
                <w:color w:val="auto"/>
                <w:w w:val="94"/>
              </w:rPr>
              <w:t>_______________</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ind w:right="300" w:firstLine="8"/>
        <w:spacing w:after="0" w:line="263" w:lineRule="auto"/>
        <w:tabs>
          <w:tab w:leader="none" w:pos="22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$6.4 million in variable lease payments not included in "Operating lease liabilities" and "Long-term operating lease liabilities" on the Condensed Consolidated Balance Sheet.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weighted average remaining lease term for operating leases is 6.0 years at July 31, 2019. The weighted average discount rate was 3.81% at July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Maturities of operating lease liabilities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600" w:type="dxa"/>
            <w:vAlign w:val="bottom"/>
          </w:tcPr>
          <w:p>
            <w:pPr>
              <w:ind w:left="40"/>
              <w:spacing w:after="0"/>
              <w:rPr>
                <w:sz w:val="20"/>
                <w:szCs w:val="20"/>
                <w:color w:val="auto"/>
              </w:rPr>
            </w:pPr>
            <w:r>
              <w:rPr>
                <w:rFonts w:ascii="Arial" w:cs="Arial" w:eastAsia="Arial" w:hAnsi="Arial"/>
                <w:sz w:val="16"/>
                <w:szCs w:val="16"/>
                <w:color w:val="auto"/>
              </w:rPr>
              <w:t>Fiscal year ending</w:t>
            </w: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3"/>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 (remainder)</w:t>
            </w: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2021</w:t>
            </w:r>
          </w:p>
        </w:tc>
        <w:tc>
          <w:tcPr>
            <w:tcW w:w="7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71.3</w:t>
            </w:r>
          </w:p>
        </w:tc>
      </w:tr>
      <w:tr>
        <w:trPr>
          <w:trHeight w:val="33"/>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2023</w:t>
            </w:r>
          </w:p>
        </w:tc>
        <w:tc>
          <w:tcPr>
            <w:tcW w:w="7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59.6</w:t>
            </w:r>
          </w:p>
        </w:tc>
      </w:tr>
      <w:tr>
        <w:trPr>
          <w:trHeight w:val="33"/>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7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74.0</w:t>
            </w:r>
          </w:p>
        </w:tc>
      </w:tr>
      <w:tr>
        <w:trPr>
          <w:trHeight w:val="33"/>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96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355.9</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Less imputed interest</w:t>
            </w:r>
          </w:p>
        </w:tc>
        <w:tc>
          <w:tcPr>
            <w:tcW w:w="7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38.9</w:t>
            </w:r>
          </w:p>
        </w:tc>
      </w:tr>
      <w:tr>
        <w:trPr>
          <w:trHeight w:val="33"/>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operating lease liabilities</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317.0</w:t>
            </w:r>
          </w:p>
        </w:tc>
      </w:tr>
      <w:tr>
        <w:trPr>
          <w:trHeight w:val="20"/>
        </w:trPr>
        <w:tc>
          <w:tcPr>
            <w:tcW w:w="9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As of July 31, 2019, Autodesk has additional operating lease minimum lease payments of $156.4 million for executed leases that have not yet commenced, primarily for office locations.</w:t>
      </w:r>
    </w:p>
    <w:p>
      <w:pPr>
        <w:spacing w:after="0" w:line="17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For the three and six months ended July 31, 2018, rent expense related to operating leases under previous accounting guidance was $15.4 million and $30.5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Autodesk is involved in a variety of claims, suits, investigations, inquiries, and proceedings in the normal course of business including claims of alleged infringement of intellectual property rights, commercial, employment, tax, piracy prosecution,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584"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15. Stockholders' Deficit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stockholders' deficit by component, net of tax, as of July 31, 2019, are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440" w:type="dxa"/>
            <w:vAlign w:val="bottom"/>
            <w:gridSpan w:val="5"/>
          </w:tcPr>
          <w:p>
            <w:pPr>
              <w:ind w:left="60"/>
              <w:spacing w:after="0"/>
              <w:rPr>
                <w:sz w:val="20"/>
                <w:szCs w:val="20"/>
                <w:color w:val="auto"/>
              </w:rPr>
            </w:pPr>
            <w:r>
              <w:rPr>
                <w:rFonts w:ascii="Arial" w:cs="Arial" w:eastAsia="Arial" w:hAnsi="Arial"/>
                <w:sz w:val="14"/>
                <w:szCs w:val="14"/>
                <w:b w:val="1"/>
                <w:bCs w:val="1"/>
                <w:color w:val="auto"/>
                <w:w w:val="99"/>
              </w:rPr>
              <w:t>Common stock and additional paid-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capital</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Accumulated other</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6"/>
                <w:szCs w:val="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80" w:type="dxa"/>
            <w:vAlign w:val="bottom"/>
            <w:gridSpan w:val="3"/>
            <w:vMerge w:val="continue"/>
          </w:tcPr>
          <w:p>
            <w:pPr>
              <w:spacing w:after="0"/>
              <w:rPr>
                <w:sz w:val="6"/>
                <w:szCs w:val="6"/>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comprehensive loss</w:t>
            </w:r>
          </w:p>
        </w:tc>
        <w:tc>
          <w:tcPr>
            <w:tcW w:w="14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2019</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jc w:val="right"/>
              <w:ind w:right="303"/>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Post-combination expense related to equity awards assumed</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effect of accounting changes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April 30, 2019</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2,123.1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Post-combination expense related to equity awards assumed</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and retirement of common shares (1)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Balances, July 31, 2019</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2,200.7</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303"/>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(170.7)</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(2,224.3)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(194.3)</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40" w:hanging="412"/>
        <w:spacing w:after="0" w:line="334"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During the three and six months ended July 31, 2019, Autodesk repurchased 0.3 million and 0.9 million shares at an average repurchase price of $159.54 and $168.11 per share, respectively. At July 31, 2019, 16.6 million shares remained available for repurchase under the repurchase program approved by the Board of Directors.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left="380"/>
        <w:spacing w:after="0"/>
        <w:rPr>
          <w:sz w:val="20"/>
          <w:szCs w:val="20"/>
          <w:color w:val="auto"/>
        </w:rPr>
      </w:pPr>
      <w:r>
        <w:rPr>
          <w:rFonts w:ascii="Arial" w:cs="Arial" w:eastAsia="Arial" w:hAnsi="Arial"/>
          <w:sz w:val="18"/>
          <w:szCs w:val="18"/>
          <w:color w:val="auto"/>
        </w:rPr>
        <w:t>Changes in stockholders' deficit by component, net of tax, as of January 31, 2019 are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42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Common stock and additional paid-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capital</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Accumulated other</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71"/>
        </w:trPr>
        <w:tc>
          <w:tcPr>
            <w:tcW w:w="4660" w:type="dxa"/>
            <w:vAlign w:val="bottom"/>
          </w:tcPr>
          <w:p>
            <w:pPr>
              <w:spacing w:after="0"/>
              <w:rPr>
                <w:sz w:val="6"/>
                <w:szCs w:val="6"/>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6"/>
                <w:szCs w:val="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6"/>
                <w:szCs w:val="6"/>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comprehensive loss</w:t>
            </w:r>
          </w:p>
        </w:tc>
        <w:tc>
          <w:tcPr>
            <w:tcW w:w="14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36"/>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2018</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6"/>
                <w:szCs w:val="16"/>
                <w:color w:val="auto"/>
              </w:rPr>
              <w:t>Balances, April 30, 2018</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219.1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2,001.0</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(1,995.8)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Shares issued for acquisition</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6"/>
                <w:szCs w:val="16"/>
                <w:color w:val="auto"/>
              </w:rPr>
              <w:t>Balances, July 31, 2018</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218.5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2,012.5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(2,103.2)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6"/>
                <w:szCs w:val="16"/>
                <w:color w:val="auto"/>
              </w:rPr>
              <w:t>Balances, October 31, 2018</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219.1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2,009.1</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(2,189.9)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(338.3)</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price accounting adjustment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2019</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80" w:top="58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July 31,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Debt 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losses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color w:val="auto"/>
              </w:rPr>
              <w:t>Balances, July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Reclassifications related to gains and losses on available-for-sale debt securities are included in "Interest and other (expense) income, net." Refer to Note 5,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fiscal year ended January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(Loss) Per Share</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Basic net income (loss) per share is computed using the weighted average number of shares of common stock outstanding for the period, excluding stock options and restricted stock units. Diluted net income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(loss) per share amounts: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3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3"/>
              </w:rPr>
              <w:t>Three Months Ended July 31,</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6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62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9"/>
                <w:szCs w:val="19"/>
                <w:color w:val="auto"/>
              </w:rPr>
            </w:pPr>
          </w:p>
        </w:tc>
        <w:tc>
          <w:tcPr>
            <w:tcW w:w="8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(121.8)</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6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w w:val="94"/>
              </w:rPr>
              <w:t>Denominator for basic net income (loss) per share—weighted average shares</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219.6</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219.0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620" w:type="dxa"/>
            <w:vAlign w:val="bottom"/>
          </w:tcPr>
          <w:p>
            <w:pPr>
              <w:ind w:left="380"/>
              <w:spacing w:after="0"/>
              <w:rPr>
                <w:sz w:val="20"/>
                <w:szCs w:val="20"/>
                <w:color w:val="auto"/>
              </w:rPr>
            </w:pPr>
            <w:r>
              <w:rPr>
                <w:rFonts w:ascii="Arial" w:cs="Arial" w:eastAsia="Arial" w:hAnsi="Arial"/>
                <w:sz w:val="16"/>
                <w:szCs w:val="16"/>
                <w:color w:val="auto"/>
              </w:rPr>
              <w:t>Denominator for dilutive net income (loss) per share</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222.4</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219.0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222.3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6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(loss) per share</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(loss) per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7"/>
                <w:szCs w:val="17"/>
                <w:color w:val="auto"/>
              </w:rPr>
            </w:pPr>
          </w:p>
        </w:tc>
        <w:tc>
          <w:tcPr>
            <w:tcW w:w="8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640" w:hanging="412"/>
        <w:spacing w:after="0" w:line="296" w:lineRule="auto"/>
        <w:tabs>
          <w:tab w:leader="none" w:pos="4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effect of dilutive securities of 3.2 million and 3.3 million shares in the three and six months ended July 31, 2018, respectively, have been excluded from the calculation of diluted net income (loss) per share as those shares would have been anti-dilutive due to the net loss incurred during those periods.</w:t>
      </w:r>
    </w:p>
    <w:p>
      <w:pPr>
        <w:spacing w:after="0" w:line="127"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The computation of diluted net income (loss) per share does not include shares that are anti-dilutive under the treasury stock method because their exercise prices are higher than the average market value of Autodesk’s stock during the periods. There were no potentially anti-dilutive shares excluded from the computation of diluted net income (loss) per share for the three and six months ended July 31, 2019 and 2018,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allocating resources and assessing performance as the source of the Company’s reportable segments. The Company's chief operating decision maker ("CODM") allocates resources and assesses the operating performance of the Company as a whole. As such, Autodesk has one segment manager (the CODM), and one operating segment.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Six Months Ended July 31, 2019 and 2018” below; future revenue, operating expenses, recurring revenue, annualized recurring revenue, cash flow, net revenue retention rate and other future financial results (by product type and geography); the effectiveness of our efforts to successfully manage transitions to new industries; our ability to increase our subscription base; expected market trends, including the growth of cloud and mobile computing; the availability of credit; the effect of unemployment; the effects of global economic conditions;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past acquisitions, including our integration efforts;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Autodesk gives you the power to make anything.</w:t>
      </w:r>
    </w:p>
    <w:p>
      <w:pPr>
        <w:spacing w:after="0" w:line="18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the software industry has undergone a transition from developing and selling perpetual licenses and on-premises products to cloud, mobile and social applications.</w:t>
      </w:r>
    </w:p>
    <w:p>
      <w:pPr>
        <w:spacing w:after="0" w:line="18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To address this shift, Autodesk made a strategic decision to shift its business model from selling perpetual licenses and maintenance plans to selling subscriptions.</w:t>
      </w:r>
    </w:p>
    <w:p>
      <w:pPr>
        <w:spacing w:after="0" w:line="170"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Today, we offer subscriptions for individual products and Industry Collections, flexible enterprise business agreements ("EBAs"), and cloud service offerings (collectively referred to as "subscription plan"). Subscription plans are designed to give our customers more flexibility with how they use our offerings and to attract a broader range of customers, such as project-based users and small businesses.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2" w:name="page33"/>
    <w:bookmarkEnd w:id="32"/>
    <w:p>
      <w:pPr>
        <w:ind w:right="80" w:firstLine="405"/>
        <w:spacing w:after="0" w:line="257" w:lineRule="auto"/>
        <w:rPr>
          <w:sz w:val="20"/>
          <w:szCs w:val="20"/>
          <w:color w:val="auto"/>
        </w:rPr>
      </w:pPr>
      <w:r>
        <w:rPr>
          <w:rFonts w:ascii="Arial" w:cs="Arial" w:eastAsia="Arial" w:hAnsi="Arial"/>
          <w:sz w:val="18"/>
          <w:szCs w:val="18"/>
          <w:color w:val="auto"/>
        </w:rPr>
        <w:t>Our product subscriptions currently represent a hybrid of desktop software and cloud functionality, which provides a device-independent, collaborative design workflow for designers and their stakeholders. Our cloud offerings, for example, BIM 360, Shotgun, Fusion, and AutoCAD 360 Pro, provide tools, including mobile and social capabilities, to streamline design, collaboration, building and manufacturing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88" w:lineRule="exact"/>
        <w:rPr>
          <w:sz w:val="20"/>
          <w:szCs w:val="20"/>
          <w:color w:val="auto"/>
        </w:rPr>
      </w:pPr>
    </w:p>
    <w:p>
      <w:pPr>
        <w:ind w:right="760" w:firstLine="405"/>
        <w:spacing w:after="0" w:line="308" w:lineRule="auto"/>
        <w:rPr>
          <w:sz w:val="20"/>
          <w:szCs w:val="20"/>
          <w:color w:val="auto"/>
        </w:rPr>
      </w:pPr>
      <w:r>
        <w:rPr>
          <w:rFonts w:ascii="Arial" w:cs="Arial" w:eastAsia="Arial" w:hAnsi="Arial"/>
          <w:sz w:val="17"/>
          <w:szCs w:val="17"/>
          <w:color w:val="auto"/>
        </w:rPr>
        <w:t>Industry Collections provide our customers with increased access to a broader selection of Autodesk solutions and services that exceeds those previously available in suites — simplifying the customers' ability to get access to a complete set of tools for their industry.</w:t>
      </w:r>
    </w:p>
    <w:p>
      <w:pPr>
        <w:spacing w:after="0" w:line="14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discontinued the sale of new commercial licenses of most individual software products in 2016. Additionally, in June 2017, we commenced a three-year program to incentivize maintenance plan customers to move to subscription plan offerings, maintenance-to-subscription ("M2S"), while at the same time increasing maintenance plan pricing over time for customers that remain on maintenance plans. Since launching the program, a substantial majority of maintenance plan customers have converted to subscription plan offerings.</w:t>
      </w:r>
    </w:p>
    <w:p>
      <w:pPr>
        <w:spacing w:after="0" w:line="18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To support our strategic priority of re-imagining construction, in fiscal 2019, we strengthened the foundation of our construction solutions with both organic and inorganic investments. In addition to investing in our BIM 360 portfolio, we acquired Assemble Systems, Inc. ("Assemble Systems") for quantity take off functionality, PlanGrid, Inc. ("PlanGrid") for document-centric workflows and field execution, and BuildingConnected, Inc. ("BuildingConnected") for bidding and estimation processes. The broadened product portfolio will help us expand our presence with sub-contractors, trades people, and building owners.</w:t>
      </w:r>
    </w:p>
    <w:p>
      <w:pPr>
        <w:spacing w:after="0" w:line="188"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As part of our manufacturing strategy, we continue to attract global manufacturing leaders with our generative design and our Fusion technology enhancements.</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products, and business transacted through our online Autodesk branded store. See Note 3, "Revenue Recognition" in the Notes to the unaudited Condensed Consolidated Financial Statements for further detail on net revenue by indirect and direct channel sales for the three and six months ended July 31, 2019 and 2018.</w:t>
      </w:r>
    </w:p>
    <w:p>
      <w:pPr>
        <w:spacing w:after="0" w:line="188"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program to support innovators that build solutions to facilitate the development of a single connected ecosystem for the future of how things are designed, made, and used as well as support ideas that push the boundaries of 3D printing.</w:t>
      </w:r>
    </w:p>
    <w:p>
      <w:pPr>
        <w:spacing w:after="0" w:line="193"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educators, and students is a key competitive advantage which has been cultivated over an extensive period of time. This network of partners and relationships provides us with a broad and deep reach into volume markets around the world. Our distributor and reseller network is extensive and provides our customers with the resources to purchase, deploy, learn, and support our solutions quickly and easily. We have a significant number of registered third-party developers who create products that work well with our solutions and extend them for a variety of specialized applications.</w:t>
      </w:r>
    </w:p>
    <w:p>
      <w:pPr>
        <w:spacing w:after="0" w:line="158"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Autodesk is committed to helping fuel a lifelong passion for making with students of all ages. We offer free educational licenses of Autodesk software worldwide to students, educators, and accredited educational institutions. We inspire and support beginners with Tinkercad, a simple online 3D design and 3D printing tool. Through Autodesk Design Academy, we provide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584" w:right="279" w:bottom="1440" w:gutter="0" w:footer="0" w:header="0"/>
        </w:sectPr>
      </w:pPr>
    </w:p>
    <w:bookmarkStart w:id="33" w:name="page34"/>
    <w:bookmarkEnd w:id="33"/>
    <w:p>
      <w:pPr>
        <w:ind w:right="100"/>
        <w:spacing w:after="0" w:line="279" w:lineRule="auto"/>
        <w:rPr>
          <w:sz w:val="20"/>
          <w:szCs w:val="20"/>
          <w:color w:val="auto"/>
        </w:rPr>
      </w:pPr>
      <w:r>
        <w:rPr>
          <w:rFonts w:ascii="Arial" w:cs="Arial" w:eastAsia="Arial" w:hAnsi="Arial"/>
          <w:sz w:val="17"/>
          <w:szCs w:val="17"/>
          <w:color w:val="auto"/>
        </w:rPr>
        <w:t>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We also have made Autodesk Design Academy curricula available on Udemy and Coursera. Our intention is to make Autodesk software ubiquitous and the design and making software of choice for those poised to become the next generation of professional users.</w:t>
      </w:r>
    </w:p>
    <w:p>
      <w:pPr>
        <w:spacing w:after="0" w:line="171"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For example, in fiscal 2019, we acquired Assemble Systems, a leading provider of key workflow software solutions, PlanGrid, a leading provider of construction productivity software, and BuildingConnected, a leading pre-construction platform. We believe that the acquisitions of Assemble Systems, PlanGrid and BuildingConnected will enable us to offer a more comprehensive, cloud-based construction platform.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6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our current business model, annualized recurring revenue ("ARR"), growth of billings, and remaining performance obligations better reflect business momentum. To analyze progress, we have disaggregated our growth between the original maintenance model ("maintenance plan") and the subscription plan model. Maintenance plan subscriptions peaked in the fourth quarter of our fiscal 2016 as we discontinued selling new maintenance plan subscriptions in fiscal 2017, and we expect the number of these subscriptions to keep declining over time as maintenance plan customers continue to convert to our subscription plans.</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strategy depends upon a number of assumptions, including: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2019. In addition,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months ended July 31, 2019, as compared to those disclosed in our Form 10-K for the fiscal year ended January 31, 2019. We believe these policies are the most critical to aid in fully understanding and evaluating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Six Months Ended July 31, 2019 and 2018</w:t>
      </w:r>
    </w:p>
    <w:p>
      <w:pPr>
        <w:spacing w:after="0" w:line="202" w:lineRule="exact"/>
        <w:rPr>
          <w:sz w:val="20"/>
          <w:szCs w:val="20"/>
          <w:color w:val="auto"/>
        </w:rPr>
      </w:pPr>
    </w:p>
    <w:p>
      <w:pPr>
        <w:ind w:left="660" w:right="6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net revenue increased 30% and 31% to $796.8 million and $1.53 billion for the three and six months ended July 31, 2019, respectively, compared to the same periods in the prior fiscal year.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ARR was $3.1 billion, an increase of 31% compared to the second quarter in the prior fiscal 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Subscription plan ARR was $2.7 billion, an increase of 58% compared to the second quarter in the prior fiscal year.</w:t>
      </w:r>
    </w:p>
    <w:p>
      <w:pPr>
        <w:spacing w:after="0" w:line="63" w:lineRule="exact"/>
        <w:rPr>
          <w:rFonts w:ascii="Arial" w:cs="Arial" w:eastAsia="Arial" w:hAnsi="Arial"/>
          <w:sz w:val="18"/>
          <w:szCs w:val="18"/>
          <w:color w:val="auto"/>
        </w:rPr>
      </w:pPr>
    </w:p>
    <w:p>
      <w:pPr>
        <w:jc w:val="both"/>
        <w:ind w:left="660" w:right="24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Deferred revenue was $2.25 billion, an increase of 8% compared to the fourth quarter in the prior fiscal year. Remaining performance obligations (short-term and long-term deferred revenue plus unbilled deferred revenue) was $2.81 billion, an increase of 5% compared to the fourth quarter in the prior fiscal year.</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Net revenue increased during the three and six months ended July 31, 2019, as compared to the same periods in the prior fiscal year, primarily due to the respective 58% and 63% increase in subscription revenue, partially offset by a 38% decrease in maintenance revenue for both periods primarily as a result of the program to migrate customers from maintenance plans to subscription plans.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discussion of the drivers of these results, see below under the heading “Results of Operations.”</w:t>
      </w:r>
    </w:p>
    <w:p>
      <w:pPr>
        <w:spacing w:after="0" w:line="225"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Total sales to Tech Data accounted for 35% of Autodesk’s total net revenue for both the three and six months ended July 31, 2019, and 35% for both the three and six months ended July 31, 2018. During the three and six months ended July 31, 2019, Ingram Micro accounted for 10% of Autodesk's total net revenue. During the three and six months ended July 31, 2018, Ingram Micro accounted for 11% of Autodesk's total net revenue. Our customers through Tech Data and Ingram Micro are the resellers and end users who purchase our software subscriptions and services. Should any of our agreements with Tech Data and Ingram Micro be terminated for any reason,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Tech Data and Ingram Micro.</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Recurring Revenue and Net Revenue Retention Rate</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order to help better understand our financial performance, we use metrics such as recurring revenue, ARR and net revenue retention rate ("NR3"). Recurring revenue, ARR and NR3 are performance metrics and should be viewed independently of revenue and deferred revenue as recurring revenue, ARR and NR3 are not intended to be combined with those items. Our determination and presentation may differ from that of other companies. Please refer to the Glossary of Terms for the definitions of these metrics.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metric for the three and six months ended July 31, 2019 and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0"/>
              </w:rPr>
              <w:t>Change compared to</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3"/>
              </w:rPr>
              <w:t>prior 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71"/>
        </w:trPr>
        <w:tc>
          <w:tcPr>
            <w:tcW w:w="554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percentage data)</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2018</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767.2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180.4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586.8</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jc w:val="right"/>
              <w:ind w:right="988"/>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483"/>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0"/>
              </w:rPr>
              <w:t>Change compared to</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3"/>
              </w:rPr>
              <w:t>prior 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71"/>
        </w:trPr>
        <w:tc>
          <w:tcPr>
            <w:tcW w:w="5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2018</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1,475.0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356.6</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1,118.4</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jc w:val="right"/>
              <w:ind w:right="988"/>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49"/>
        </w:trPr>
        <w:tc>
          <w:tcPr>
            <w:tcW w:w="554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20" w:hanging="412"/>
        <w:spacing w:after="0" w:line="263"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5" w:name="page36"/>
    <w:bookmarkEnd w:id="35"/>
    <w:p>
      <w:pPr>
        <w:ind w:left="420"/>
        <w:spacing w:after="0"/>
        <w:rPr>
          <w:sz w:val="20"/>
          <w:szCs w:val="20"/>
          <w:color w:val="auto"/>
        </w:rPr>
      </w:pPr>
      <w:r>
        <w:rPr>
          <w:rFonts w:ascii="Arial" w:cs="Arial" w:eastAsia="Arial" w:hAnsi="Arial"/>
          <w:sz w:val="18"/>
          <w:szCs w:val="18"/>
          <w:color w:val="auto"/>
        </w:rPr>
        <w:t>The following table outlines our ARR metric as of July 31, 2019, April 30, 2019 and January 31,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Change compared to</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88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2"/>
                <w:szCs w:val="12"/>
                <w:color w:val="auto"/>
              </w:rPr>
            </w:pPr>
          </w:p>
        </w:tc>
        <w:tc>
          <w:tcPr>
            <w:tcW w:w="1700" w:type="dxa"/>
            <w:vAlign w:val="bottom"/>
            <w:gridSpan w:val="4"/>
          </w:tcPr>
          <w:p>
            <w:pPr>
              <w:ind w:left="160"/>
              <w:spacing w:after="0" w:line="145" w:lineRule="exact"/>
              <w:rPr>
                <w:sz w:val="20"/>
                <w:szCs w:val="20"/>
                <w:color w:val="auto"/>
              </w:rPr>
            </w:pPr>
            <w:r>
              <w:rPr>
                <w:rFonts w:ascii="Arial" w:cs="Arial" w:eastAsia="Arial" w:hAnsi="Arial"/>
                <w:sz w:val="14"/>
                <w:szCs w:val="14"/>
                <w:b w:val="1"/>
                <w:bCs w:val="1"/>
                <w:color w:val="auto"/>
              </w:rPr>
              <w:t>prior quarter end</w:t>
            </w:r>
          </w:p>
        </w:tc>
        <w:tc>
          <w:tcPr>
            <w:tcW w:w="22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2"/>
                <w:szCs w:val="12"/>
                <w:color w:val="auto"/>
              </w:rPr>
            </w:pPr>
          </w:p>
        </w:tc>
        <w:tc>
          <w:tcPr>
            <w:tcW w:w="1700" w:type="dxa"/>
            <w:vAlign w:val="bottom"/>
            <w:gridSpan w:val="4"/>
          </w:tcPr>
          <w:p>
            <w:pPr>
              <w:ind w:left="100"/>
              <w:spacing w:after="0" w:line="145" w:lineRule="exact"/>
              <w:rPr>
                <w:sz w:val="20"/>
                <w:szCs w:val="20"/>
                <w:color w:val="auto"/>
              </w:rPr>
            </w:pPr>
            <w:r>
              <w:rPr>
                <w:rFonts w:ascii="Arial" w:cs="Arial" w:eastAsia="Arial" w:hAnsi="Arial"/>
                <w:sz w:val="14"/>
                <w:szCs w:val="14"/>
                <w:b w:val="1"/>
                <w:bCs w:val="1"/>
                <w:color w:val="auto"/>
              </w:rPr>
              <w:t>prior fiscal year end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c>
          <w:tcPr>
            <w:tcW w:w="88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90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63"/>
              <w:spacing w:after="0" w:line="126" w:lineRule="exact"/>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July 31, 2019</w:t>
            </w: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April 30, 2019</w:t>
            </w:r>
          </w:p>
        </w:tc>
        <w:tc>
          <w:tcPr>
            <w:tcW w:w="12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July 31, 2019</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63"/>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36"/>
        </w:trPr>
        <w:tc>
          <w:tcPr>
            <w:tcW w:w="3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plan ARR</w:t>
            </w:r>
          </w:p>
        </w:tc>
        <w:tc>
          <w:tcPr>
            <w:tcW w:w="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2,383.3</w:t>
            </w:r>
          </w:p>
        </w:tc>
        <w:tc>
          <w:tcPr>
            <w:tcW w:w="120" w:type="dxa"/>
            <w:vAlign w:val="bottom"/>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2,654.8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454.7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2,200.1</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6"/>
                <w:szCs w:val="16"/>
                <w:color w:val="auto"/>
              </w:rPr>
              <w:t>Maintenance plan ARR</w:t>
            </w:r>
          </w:p>
        </w:tc>
        <w:tc>
          <w:tcPr>
            <w:tcW w:w="2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414.0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447.9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414.0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549.3</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ARR (1)</w:t>
            </w:r>
          </w:p>
        </w:tc>
        <w:tc>
          <w:tcPr>
            <w:tcW w:w="2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3,068.8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2,831.2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3,068.8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2,749.4</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80" w:hanging="412"/>
        <w:spacing w:after="0" w:line="263"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ARR reported in this table above and ARR derived from the revenue reported in the Condensed Consolidated Statements of Operations.</w:t>
      </w:r>
    </w:p>
    <w:p>
      <w:pPr>
        <w:spacing w:after="0" w:line="33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Total ARR increased 8% as of July 31, 2019, as compared to the three months ended April 30, 2019, and 12% as compared to the end of fiscal 2019, primarily due to an 11% and 21% increase, in the respective periods, in subscription plan ARR primarily driven by product subscriptions, including the maintenance-to-subscription ("M2S") program. The increase was partially offset by an 8% and 25% decrease, in the respective periods, in maintenance plan ARR driven by the M2S program.</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NR3 was within the range of 110% and 120% as of July 31, 2019 and 2018.</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a significant amount of our revenue in the United States, Japan, Germany, the United Kingdom, and Finland.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impact of foreign exchange rate changes on our net revenue and total spend: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60" w:type="dxa"/>
            <w:vAlign w:val="bottom"/>
          </w:tcPr>
          <w:p>
            <w:pPr>
              <w:spacing w:after="0"/>
              <w:rPr>
                <w:sz w:val="16"/>
                <w:szCs w:val="16"/>
                <w:color w:val="auto"/>
              </w:rPr>
            </w:pPr>
          </w:p>
        </w:tc>
        <w:tc>
          <w:tcPr>
            <w:tcW w:w="4880" w:type="dxa"/>
            <w:vAlign w:val="bottom"/>
            <w:tcBorders>
              <w:bottom w:val="single" w:sz="8" w:color="auto"/>
            </w:tcBorders>
            <w:gridSpan w:val="5"/>
          </w:tcPr>
          <w:p>
            <w:pPr>
              <w:ind w:left="1380"/>
              <w:spacing w:after="0"/>
              <w:rPr>
                <w:sz w:val="20"/>
                <w:szCs w:val="20"/>
                <w:color w:val="auto"/>
              </w:rPr>
            </w:pPr>
            <w:r>
              <w:rPr>
                <w:rFonts w:ascii="Arial" w:cs="Arial" w:eastAsia="Arial" w:hAnsi="Arial"/>
                <w:sz w:val="14"/>
                <w:szCs w:val="14"/>
                <w:b w:val="1"/>
                <w:bCs w:val="1"/>
                <w:color w:val="auto"/>
              </w:rPr>
              <w:t>Three Months Ended July 31, 2019</w:t>
            </w:r>
          </w:p>
        </w:tc>
        <w:tc>
          <w:tcPr>
            <w:tcW w:w="100" w:type="dxa"/>
            <w:vAlign w:val="bottom"/>
          </w:tcPr>
          <w:p>
            <w:pPr>
              <w:spacing w:after="0"/>
              <w:rPr>
                <w:sz w:val="16"/>
                <w:szCs w:val="16"/>
                <w:color w:val="auto"/>
              </w:rPr>
            </w:pPr>
          </w:p>
        </w:tc>
        <w:tc>
          <w:tcPr>
            <w:tcW w:w="4880" w:type="dxa"/>
            <w:vAlign w:val="bottom"/>
            <w:tcBorders>
              <w:bottom w:val="single" w:sz="8" w:color="auto"/>
            </w:tcBorders>
            <w:gridSpan w:val="5"/>
          </w:tcPr>
          <w:p>
            <w:pPr>
              <w:ind w:left="1460"/>
              <w:spacing w:after="0"/>
              <w:rPr>
                <w:sz w:val="20"/>
                <w:szCs w:val="20"/>
                <w:color w:val="auto"/>
              </w:rPr>
            </w:pPr>
            <w:r>
              <w:rPr>
                <w:rFonts w:ascii="Arial" w:cs="Arial" w:eastAsia="Arial" w:hAnsi="Arial"/>
                <w:sz w:val="14"/>
                <w:szCs w:val="14"/>
                <w:b w:val="1"/>
                <w:bCs w:val="1"/>
                <w:color w:val="auto"/>
              </w:rPr>
              <w:t>Six Months Ended July 31, 2019</w:t>
            </w:r>
          </w:p>
        </w:tc>
        <w:tc>
          <w:tcPr>
            <w:tcW w:w="0" w:type="dxa"/>
            <w:vAlign w:val="bottom"/>
          </w:tcPr>
          <w:p>
            <w:pPr>
              <w:spacing w:after="0"/>
              <w:rPr>
                <w:sz w:val="1"/>
                <w:szCs w:val="1"/>
                <w:color w:val="auto"/>
              </w:rPr>
            </w:pPr>
          </w:p>
        </w:tc>
      </w:tr>
      <w:tr>
        <w:trPr>
          <w:trHeight w:val="152"/>
        </w:trPr>
        <w:tc>
          <w:tcPr>
            <w:tcW w:w="156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Percent</w:t>
            </w: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Constant Currency</w:t>
            </w: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Positive/Negative/Neutral</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Percent</w:t>
            </w: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Constant Currency</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Positive/Negative/Neutral</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percent</w:t>
            </w:r>
          </w:p>
        </w:tc>
        <w:tc>
          <w:tcPr>
            <w:tcW w:w="174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percent</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impact from foreign</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impact from foreign</w:t>
            </w:r>
          </w:p>
        </w:tc>
        <w:tc>
          <w:tcPr>
            <w:tcW w:w="0" w:type="dxa"/>
            <w:vAlign w:val="bottom"/>
          </w:tcPr>
          <w:p>
            <w:pPr>
              <w:spacing w:after="0"/>
              <w:rPr>
                <w:sz w:val="1"/>
                <w:szCs w:val="1"/>
                <w:color w:val="auto"/>
              </w:rPr>
            </w:pPr>
          </w:p>
        </w:tc>
      </w:tr>
      <w:tr>
        <w:trPr>
          <w:trHeight w:val="192"/>
        </w:trPr>
        <w:tc>
          <w:tcPr>
            <w:tcW w:w="15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prior fiscal year (1)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exchange rate changes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prior fiscal year</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prior fiscal year (1)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0" w:type="dxa"/>
            <w:vAlign w:val="bottom"/>
          </w:tcPr>
          <w:p>
            <w:pPr>
              <w:spacing w:after="0"/>
              <w:rPr>
                <w:sz w:val="1"/>
                <w:szCs w:val="1"/>
                <w:color w:val="auto"/>
              </w:rPr>
            </w:pPr>
          </w:p>
        </w:tc>
      </w:tr>
      <w:tr>
        <w:trPr>
          <w:trHeight w:val="236"/>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Neutral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Positive</w:t>
            </w:r>
          </w:p>
        </w:tc>
        <w:tc>
          <w:tcPr>
            <w:tcW w:w="0" w:type="dxa"/>
            <w:vAlign w:val="bottom"/>
          </w:tcPr>
          <w:p>
            <w:pPr>
              <w:spacing w:after="0"/>
              <w:rPr>
                <w:sz w:val="1"/>
                <w:szCs w:val="1"/>
                <w:color w:val="auto"/>
              </w:rPr>
            </w:pPr>
          </w:p>
        </w:tc>
      </w:tr>
      <w:tr>
        <w:trPr>
          <w:trHeight w:val="237"/>
        </w:trPr>
        <w:tc>
          <w:tcPr>
            <w:tcW w:w="1560" w:type="dxa"/>
            <w:vAlign w:val="bottom"/>
          </w:tcPr>
          <w:p>
            <w:pPr>
              <w:ind w:left="40"/>
              <w:spacing w:after="0"/>
              <w:rPr>
                <w:sz w:val="20"/>
                <w:szCs w:val="20"/>
                <w:color w:val="auto"/>
              </w:rPr>
            </w:pPr>
            <w:r>
              <w:rPr>
                <w:rFonts w:ascii="Arial" w:cs="Arial" w:eastAsia="Arial" w:hAnsi="Arial"/>
                <w:sz w:val="16"/>
                <w:szCs w:val="16"/>
                <w:color w:val="auto"/>
              </w:rPr>
              <w:t>Total spend (2)</w:t>
            </w:r>
          </w:p>
        </w:tc>
        <w:tc>
          <w:tcPr>
            <w:tcW w:w="15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Positive</w:t>
            </w:r>
          </w:p>
        </w:tc>
        <w:tc>
          <w:tcPr>
            <w:tcW w:w="15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Positive</w:t>
            </w:r>
          </w:p>
        </w:tc>
        <w:tc>
          <w:tcPr>
            <w:tcW w:w="0" w:type="dxa"/>
            <w:vAlign w:val="bottom"/>
          </w:tcPr>
          <w:p>
            <w:pPr>
              <w:spacing w:after="0"/>
              <w:rPr>
                <w:sz w:val="1"/>
                <w:szCs w:val="1"/>
                <w:color w:val="auto"/>
              </w:rPr>
            </w:pPr>
          </w:p>
        </w:tc>
      </w:tr>
      <w:tr>
        <w:trPr>
          <w:trHeight w:val="249"/>
        </w:trPr>
        <w:tc>
          <w:tcPr>
            <w:tcW w:w="1560" w:type="dxa"/>
            <w:vAlign w:val="bottom"/>
          </w:tcPr>
          <w:p>
            <w:pPr>
              <w:ind w:left="60"/>
              <w:spacing w:after="0"/>
              <w:rPr>
                <w:sz w:val="20"/>
                <w:szCs w:val="20"/>
                <w:color w:val="auto"/>
              </w:rPr>
            </w:pPr>
            <w:r>
              <w:rPr>
                <w:rFonts w:ascii="Arial" w:cs="Arial" w:eastAsia="Arial" w:hAnsi="Arial"/>
                <w:sz w:val="18"/>
                <w:szCs w:val="18"/>
                <w:color w:val="auto"/>
                <w:w w:val="92"/>
              </w:rPr>
              <w:t>________________</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Please refer to the Glossary of Terms for the definitions of our constant currency growth rates.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 spend is the sum of total cost of revenue and total operating expenses.</w:t>
      </w:r>
    </w:p>
    <w:p>
      <w:pPr>
        <w:spacing w:after="0" w:line="203"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Remaining performance obligations represent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Note 3, “Revenue Recognition” for more details on Autodesk's performance obligations.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18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2019</w:t>
            </w:r>
          </w:p>
        </w:tc>
        <w:tc>
          <w:tcPr>
            <w:tcW w:w="16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January 31, 2019</w:t>
            </w:r>
          </w:p>
        </w:tc>
      </w:tr>
      <w:tr>
        <w:trPr>
          <w:trHeight w:val="236"/>
        </w:trPr>
        <w:tc>
          <w:tcPr>
            <w:tcW w:w="8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2,249.5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2,091.4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Unbilled deferred revenue</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563.0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591.0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Remaining performance obligations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2,682.4</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We expect that the amount of remaining performance obligations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At July 31, 2019, we had $991.3 million in cash and marketable securities. Our cash flow from operations increased to $440.5 million for the six months ended July 31, 2019, compared to $26.4 million for the six months ended July 31, 2018. We repurchased 0.9 million shares of our common stock for $140.5 million during the six months ended July 31, 2019. Comparatively, we repurchased 1.3 million shares of our common stock for $167.7 million during the six months ended July 31, 2018. See further discussion regarding the balance sheet and cash flow activities under the heading “Liquidity and 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Income Statement Presentation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Subscription revenue consists of our term-based product subscriptions, cloud service offerings, and flexible enterprise</w:t>
      </w:r>
    </w:p>
    <w:p>
      <w:pPr>
        <w:spacing w:after="0" w:line="2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business arrangements. Revenue from these arrangements is recognized ratably over the contract term commencing with the date our service is made available to customers and when all other revenue recognition criteria have been satisfied.</w:t>
      </w:r>
    </w:p>
    <w:p>
      <w:pPr>
        <w:spacing w:after="0" w:line="18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181"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Other revenue consists of revenue from consulting, training and other services, and is recognized over time as the services are performed. Other revenue also includes software license revenue from the sale of products which do not incorporate substantial cloud services and is recognized up front.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Three</w:t>
            </w:r>
          </w:p>
        </w:tc>
        <w:tc>
          <w:tcPr>
            <w:tcW w:w="200" w:type="dxa"/>
            <w:vAlign w:val="bottom"/>
          </w:tcPr>
          <w:p>
            <w:pPr>
              <w:spacing w:after="0"/>
              <w:rPr>
                <w:sz w:val="14"/>
                <w:szCs w:val="14"/>
                <w:color w:val="auto"/>
              </w:rPr>
            </w:pPr>
          </w:p>
        </w:tc>
        <w:tc>
          <w:tcPr>
            <w:tcW w:w="18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60" w:type="dxa"/>
            <w:vAlign w:val="bottom"/>
          </w:tcPr>
          <w:p>
            <w:pPr>
              <w:spacing w:after="0"/>
              <w:rPr>
                <w:sz w:val="14"/>
                <w:szCs w:val="14"/>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Months</w:t>
            </w:r>
          </w:p>
        </w:tc>
        <w:tc>
          <w:tcPr>
            <w:tcW w:w="20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July 31, 2019</w:t>
            </w:r>
          </w:p>
        </w:tc>
        <w:tc>
          <w:tcPr>
            <w:tcW w:w="20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July 31, 2018</w:t>
            </w:r>
          </w:p>
        </w:tc>
        <w:tc>
          <w:tcPr>
            <w:tcW w:w="120" w:type="dxa"/>
            <w:vAlign w:val="bottom"/>
          </w:tcPr>
          <w:p>
            <w:pPr>
              <w:spacing w:after="0"/>
              <w:rPr>
                <w:sz w:val="22"/>
                <w:szCs w:val="22"/>
                <w:color w:val="auto"/>
              </w:rPr>
            </w:pPr>
          </w:p>
        </w:tc>
        <w:tc>
          <w:tcPr>
            <w:tcW w:w="3300" w:type="dxa"/>
            <w:vAlign w:val="bottom"/>
          </w:tcPr>
          <w:p>
            <w:pPr>
              <w:ind w:left="9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663.7</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243.1</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58 %</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420.6</w:t>
            </w:r>
          </w:p>
        </w:tc>
        <w:tc>
          <w:tcPr>
            <w:tcW w:w="1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Up due to growth across all subscription plan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types, led by renewal product subscription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3"/>
              </w:rPr>
              <w:t>revenue, which benefited from the success of the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7"/>
              </w:rPr>
              <w:t>M2S program. Also contributing to the increase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7"/>
              </w:rPr>
              <w:t>was growth in new product subscriptions, cloud</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service offerings (which benefited from our</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acquisitions in the fourth quarter of fiscal year</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2019) and EBA offerings.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 (1)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166.4</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primarily due to the migration of</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maintenance plan subscriptions to subscription</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r>
        <w:trPr>
          <w:trHeight w:val="217"/>
        </w:trPr>
        <w:tc>
          <w:tcPr>
            <w:tcW w:w="4120" w:type="dxa"/>
            <w:vAlign w:val="bottom"/>
          </w:tcPr>
          <w:p>
            <w:pPr>
              <w:ind w:left="560"/>
              <w:spacing w:after="0"/>
              <w:rPr>
                <w:sz w:val="20"/>
                <w:szCs w:val="20"/>
                <w:color w:val="auto"/>
              </w:rPr>
            </w:pPr>
            <w:r>
              <w:rPr>
                <w:rFonts w:ascii="Arial" w:cs="Arial" w:eastAsia="Arial" w:hAnsi="Arial"/>
                <w:sz w:val="16"/>
                <w:szCs w:val="16"/>
                <w:color w:val="auto"/>
              </w:rPr>
              <w:t>Total subscription and maintenance revenue</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767.2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180.2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587.0</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796.8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185.1</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611.7</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12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Six Months</w:t>
            </w:r>
          </w:p>
        </w:tc>
        <w:tc>
          <w:tcPr>
            <w:tcW w:w="200" w:type="dxa"/>
            <w:vAlign w:val="bottom"/>
          </w:tcPr>
          <w:p>
            <w:pPr>
              <w:spacing w:after="0"/>
              <w:rPr>
                <w:sz w:val="24"/>
                <w:szCs w:val="24"/>
                <w:color w:val="auto"/>
              </w:rPr>
            </w:pPr>
          </w:p>
        </w:tc>
        <w:tc>
          <w:tcPr>
            <w:tcW w:w="1800" w:type="dxa"/>
            <w:vAlign w:val="bottom"/>
            <w:gridSpan w:val="4"/>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July 31, 2019</w:t>
            </w:r>
          </w:p>
        </w:tc>
        <w:tc>
          <w:tcPr>
            <w:tcW w:w="200" w:type="dxa"/>
            <w:vAlign w:val="bottom"/>
          </w:tcPr>
          <w:p>
            <w:pPr>
              <w:spacing w:after="0"/>
              <w:rPr>
                <w:sz w:val="22"/>
                <w:szCs w:val="22"/>
                <w:color w:val="auto"/>
              </w:rPr>
            </w:pPr>
          </w:p>
        </w:tc>
        <w:tc>
          <w:tcPr>
            <w:tcW w:w="680" w:type="dxa"/>
            <w:vAlign w:val="bottom"/>
          </w:tcPr>
          <w:p>
            <w:pPr>
              <w:jc w:val="right"/>
              <w:ind w:right="322"/>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July 31, 2018</w:t>
            </w:r>
          </w:p>
        </w:tc>
        <w:tc>
          <w:tcPr>
            <w:tcW w:w="120" w:type="dxa"/>
            <w:vAlign w:val="bottom"/>
          </w:tcPr>
          <w:p>
            <w:pPr>
              <w:spacing w:after="0"/>
              <w:rPr>
                <w:sz w:val="22"/>
                <w:szCs w:val="22"/>
                <w:color w:val="auto"/>
              </w:rPr>
            </w:pPr>
          </w:p>
        </w:tc>
        <w:tc>
          <w:tcPr>
            <w:tcW w:w="3300" w:type="dxa"/>
            <w:vAlign w:val="bottom"/>
          </w:tcPr>
          <w:p>
            <w:pPr>
              <w:ind w:left="9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1,259.5</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488.5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771.0</w:t>
            </w:r>
          </w:p>
        </w:tc>
        <w:tc>
          <w:tcPr>
            <w:tcW w:w="1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Up due to growth across all subscription plan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types, led by renewal product subscription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3"/>
              </w:rPr>
              <w:t>revenue, which benefited from the success of the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7"/>
              </w:rPr>
              <w:t>M2S program. Also contributing to the increase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7"/>
              </w:rPr>
              <w:t>was growth in new product subscriptions, cloud</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service offerings and EBA offerings.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 (1)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347.6</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primarily due to the migration of</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maintenance plan subscriptions to subscription</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r>
        <w:trPr>
          <w:trHeight w:val="217"/>
        </w:trPr>
        <w:tc>
          <w:tcPr>
            <w:tcW w:w="4120" w:type="dxa"/>
            <w:vAlign w:val="bottom"/>
          </w:tcPr>
          <w:p>
            <w:pPr>
              <w:ind w:left="560"/>
              <w:spacing w:after="0"/>
              <w:rPr>
                <w:sz w:val="20"/>
                <w:szCs w:val="20"/>
                <w:color w:val="auto"/>
              </w:rPr>
            </w:pPr>
            <w:r>
              <w:rPr>
                <w:rFonts w:ascii="Arial" w:cs="Arial" w:eastAsia="Arial" w:hAnsi="Arial"/>
                <w:sz w:val="16"/>
                <w:szCs w:val="16"/>
                <w:color w:val="auto"/>
              </w:rPr>
              <w:t>Total subscription and maintenance revenue</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1,475.0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356.4</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1,118.6</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1,532.3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360.7</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1,171.6</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660" w:hanging="412"/>
        <w:spacing w:after="0" w:line="263"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expect maintenance revenue will slowly decline; however, the rate of decline will vary based on the number of renewals, the renewal rate, and our ability to incentivize maintenance plan customers to switch over to subscription plan offerings.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26" w:right="239" w:bottom="1440" w:gutter="0" w:footer="0" w:header="0"/>
        </w:sectPr>
      </w:pPr>
    </w:p>
    <w:bookmarkStart w:id="38" w:name="page39"/>
    <w:bookmarkEnd w:id="38"/>
    <w:p>
      <w:pPr>
        <w:ind w:left="260"/>
        <w:spacing w:after="0"/>
        <w:rPr>
          <w:sz w:val="20"/>
          <w:szCs w:val="20"/>
          <w:color w:val="auto"/>
        </w:rPr>
      </w:pPr>
      <w:r>
        <w:rPr>
          <w:rFonts w:ascii="Arial" w:cs="Arial" w:eastAsia="Arial" w:hAnsi="Arial"/>
          <w:sz w:val="18"/>
          <w:szCs w:val="18"/>
          <w:i w:val="1"/>
          <w:iCs w:val="1"/>
          <w:color w:val="auto"/>
        </w:rPr>
        <w:t>Net Revenue by Product Family</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product offerings are focused in four primary product families: Architecture, Engineering and Construction ("AEC"), AutoCAD and AutoCAD LT, Manufacturing ("MFG"), and Media and Entertainment ("M&amp;E").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14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0"/>
              </w:rPr>
              <w:t>Change compared to</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13"/>
                <w:szCs w:val="13"/>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July 31, 2018</w:t>
            </w:r>
          </w:p>
        </w:tc>
        <w:tc>
          <w:tcPr>
            <w:tcW w:w="100" w:type="dxa"/>
            <w:vAlign w:val="bottom"/>
          </w:tcPr>
          <w:p>
            <w:pPr>
              <w:spacing w:after="0"/>
              <w:rPr>
                <w:sz w:val="13"/>
                <w:szCs w:val="13"/>
                <w:color w:val="auto"/>
              </w:rPr>
            </w:pPr>
          </w:p>
        </w:tc>
        <w:tc>
          <w:tcPr>
            <w:tcW w:w="376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16"/>
                <w:szCs w:val="16"/>
                <w:color w:val="auto"/>
              </w:rPr>
            </w:pPr>
          </w:p>
        </w:tc>
        <w:tc>
          <w:tcPr>
            <w:tcW w:w="70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360"/>
              <w:spacing w:after="0"/>
              <w:rPr>
                <w:sz w:val="20"/>
                <w:szCs w:val="20"/>
                <w:color w:val="auto"/>
              </w:rPr>
            </w:pPr>
            <w:r>
              <w:rPr>
                <w:rFonts w:ascii="Arial" w:cs="Arial" w:eastAsia="Arial" w:hAnsi="Arial"/>
                <w:sz w:val="16"/>
                <w:szCs w:val="16"/>
                <w:color w:val="auto"/>
              </w:rPr>
              <w:t>AEC</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334.2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37%</w:t>
            </w:r>
          </w:p>
        </w:tc>
        <w:tc>
          <w:tcPr>
            <w:tcW w:w="100" w:type="dxa"/>
            <w:vAlign w:val="bottom"/>
          </w:tcPr>
          <w:p>
            <w:pPr>
              <w:spacing w:after="0"/>
              <w:rPr>
                <w:sz w:val="19"/>
                <w:szCs w:val="19"/>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6"/>
              </w:rPr>
              <w:t>Up due to increases in revenue from AEC Collections,</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PlanGrid, EBAs, and BIM 360.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AutoCAD and AutoCAD LT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231.3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176.6</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Up due to increases in revenue from both AutoCAD and</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AutoCAD LT.</w:t>
            </w:r>
          </w:p>
        </w:tc>
        <w:tc>
          <w:tcPr>
            <w:tcW w:w="0" w:type="dxa"/>
            <w:vAlign w:val="bottom"/>
          </w:tcPr>
          <w:p>
            <w:pPr>
              <w:spacing w:after="0"/>
              <w:rPr>
                <w:sz w:val="1"/>
                <w:szCs w:val="1"/>
                <w:color w:val="auto"/>
              </w:rPr>
            </w:pPr>
          </w:p>
        </w:tc>
      </w:tr>
      <w:tr>
        <w:trPr>
          <w:trHeight w:val="220"/>
        </w:trPr>
        <w:tc>
          <w:tcPr>
            <w:tcW w:w="3660" w:type="dxa"/>
            <w:vAlign w:val="bottom"/>
          </w:tcPr>
          <w:p>
            <w:pPr>
              <w:ind w:left="380"/>
              <w:spacing w:after="0"/>
              <w:rPr>
                <w:sz w:val="20"/>
                <w:szCs w:val="20"/>
                <w:color w:val="auto"/>
              </w:rPr>
            </w:pPr>
            <w:r>
              <w:rPr>
                <w:rFonts w:ascii="Arial" w:cs="Arial" w:eastAsia="Arial" w:hAnsi="Arial"/>
                <w:sz w:val="16"/>
                <w:szCs w:val="16"/>
                <w:color w:val="auto"/>
              </w:rPr>
              <w:t>MFG</w:t>
            </w:r>
          </w:p>
        </w:tc>
        <w:tc>
          <w:tcPr>
            <w:tcW w:w="140" w:type="dxa"/>
            <w:vAlign w:val="bottom"/>
          </w:tcPr>
          <w:p>
            <w:pPr>
              <w:spacing w:after="0"/>
              <w:rPr>
                <w:sz w:val="19"/>
                <w:szCs w:val="19"/>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174.6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7"/>
              </w:rPr>
              <w:t>Up due to increases in revenue from MFG Collections</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and EBAs.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M&amp;E</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Up due to increases in revenue from EBAs, M&amp;E</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Collections, Maya, and 3DS Max.</w:t>
            </w:r>
          </w:p>
        </w:tc>
        <w:tc>
          <w:tcPr>
            <w:tcW w:w="0" w:type="dxa"/>
            <w:vAlign w:val="bottom"/>
          </w:tcPr>
          <w:p>
            <w:pPr>
              <w:spacing w:after="0"/>
              <w:rPr>
                <w:sz w:val="1"/>
                <w:szCs w:val="1"/>
                <w:color w:val="auto"/>
              </w:rPr>
            </w:pPr>
          </w:p>
        </w:tc>
      </w:tr>
      <w:tr>
        <w:trPr>
          <w:trHeight w:val="224"/>
        </w:trPr>
        <w:tc>
          <w:tcPr>
            <w:tcW w:w="3660" w:type="dxa"/>
            <w:vAlign w:val="bottom"/>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9"/>
                <w:szCs w:val="19"/>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796.8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611.7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66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Six Months</w:t>
            </w:r>
          </w:p>
        </w:tc>
        <w:tc>
          <w:tcPr>
            <w:tcW w:w="220" w:type="dxa"/>
            <w:vAlign w:val="bottom"/>
          </w:tcPr>
          <w:p>
            <w:pPr>
              <w:spacing w:after="0"/>
              <w:rPr>
                <w:sz w:val="24"/>
                <w:szCs w:val="24"/>
                <w:color w:val="auto"/>
              </w:rPr>
            </w:pPr>
          </w:p>
        </w:tc>
        <w:tc>
          <w:tcPr>
            <w:tcW w:w="1420" w:type="dxa"/>
            <w:vAlign w:val="bottom"/>
            <w:gridSpan w:val="3"/>
          </w:tcPr>
          <w:p>
            <w:pPr>
              <w:ind w:left="140"/>
              <w:spacing w:after="0"/>
              <w:rPr>
                <w:sz w:val="20"/>
                <w:szCs w:val="20"/>
                <w:color w:val="auto"/>
              </w:rPr>
            </w:pPr>
            <w:r>
              <w:rPr>
                <w:rFonts w:ascii="Arial" w:cs="Arial" w:eastAsia="Arial" w:hAnsi="Arial"/>
                <w:sz w:val="14"/>
                <w:szCs w:val="14"/>
                <w:b w:val="1"/>
                <w:bCs w:val="1"/>
                <w:color w:val="auto"/>
                <w:w w:val="90"/>
              </w:rPr>
              <w:t>Change compared to</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13"/>
                <w:szCs w:val="13"/>
                <w:color w:val="auto"/>
              </w:rPr>
            </w:pPr>
          </w:p>
        </w:tc>
        <w:tc>
          <w:tcPr>
            <w:tcW w:w="68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July 31, 2018</w:t>
            </w:r>
          </w:p>
        </w:tc>
        <w:tc>
          <w:tcPr>
            <w:tcW w:w="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360"/>
              <w:spacing w:after="0"/>
              <w:rPr>
                <w:sz w:val="20"/>
                <w:szCs w:val="20"/>
                <w:color w:val="auto"/>
              </w:rPr>
            </w:pPr>
            <w:r>
              <w:rPr>
                <w:rFonts w:ascii="Arial" w:cs="Arial" w:eastAsia="Arial" w:hAnsi="Arial"/>
                <w:sz w:val="16"/>
                <w:szCs w:val="16"/>
                <w:color w:val="auto"/>
              </w:rPr>
              <w:t>AEC</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638.5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37%</w:t>
            </w:r>
          </w:p>
        </w:tc>
        <w:tc>
          <w:tcPr>
            <w:tcW w:w="100" w:type="dxa"/>
            <w:vAlign w:val="bottom"/>
          </w:tcPr>
          <w:p>
            <w:pPr>
              <w:spacing w:after="0"/>
              <w:rPr>
                <w:sz w:val="19"/>
                <w:szCs w:val="19"/>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464.9</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6"/>
              </w:rPr>
              <w:t>Up due to increases in revenue from AEC Collections,</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PlanGrid, EBAs, and BIM 360.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ACAD and AutoCAD LT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332.2</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Up due to increases in revenue from both AutoCAD and</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AutoCAD LT.</w:t>
            </w:r>
          </w:p>
        </w:tc>
        <w:tc>
          <w:tcPr>
            <w:tcW w:w="0" w:type="dxa"/>
            <w:vAlign w:val="bottom"/>
          </w:tcPr>
          <w:p>
            <w:pPr>
              <w:spacing w:after="0"/>
              <w:rPr>
                <w:sz w:val="1"/>
                <w:szCs w:val="1"/>
                <w:color w:val="auto"/>
              </w:rPr>
            </w:pPr>
          </w:p>
        </w:tc>
      </w:tr>
      <w:tr>
        <w:trPr>
          <w:trHeight w:val="220"/>
        </w:trPr>
        <w:tc>
          <w:tcPr>
            <w:tcW w:w="3660" w:type="dxa"/>
            <w:vAlign w:val="bottom"/>
          </w:tcPr>
          <w:p>
            <w:pPr>
              <w:ind w:left="380"/>
              <w:spacing w:after="0"/>
              <w:rPr>
                <w:sz w:val="20"/>
                <w:szCs w:val="20"/>
                <w:color w:val="auto"/>
              </w:rPr>
            </w:pPr>
            <w:r>
              <w:rPr>
                <w:rFonts w:ascii="Arial" w:cs="Arial" w:eastAsia="Arial" w:hAnsi="Arial"/>
                <w:sz w:val="16"/>
                <w:szCs w:val="16"/>
                <w:color w:val="auto"/>
              </w:rPr>
              <w:t>MFG</w:t>
            </w:r>
          </w:p>
        </w:tc>
        <w:tc>
          <w:tcPr>
            <w:tcW w:w="140" w:type="dxa"/>
            <w:vAlign w:val="bottom"/>
          </w:tcPr>
          <w:p>
            <w:pPr>
              <w:spacing w:after="0"/>
              <w:rPr>
                <w:sz w:val="19"/>
                <w:szCs w:val="19"/>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342.1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281.5</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7"/>
              </w:rPr>
              <w:t>Up due to increases in revenue from MFG Collections</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and EBAs.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M&amp;E</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Up due to increases in revenue from M&amp;E Collections,</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Maya, EBAs, and 3DS Max.</w:t>
            </w:r>
          </w:p>
        </w:tc>
        <w:tc>
          <w:tcPr>
            <w:tcW w:w="0" w:type="dxa"/>
            <w:vAlign w:val="bottom"/>
          </w:tcPr>
          <w:p>
            <w:pPr>
              <w:spacing w:after="0"/>
              <w:rPr>
                <w:sz w:val="1"/>
                <w:szCs w:val="1"/>
                <w:color w:val="auto"/>
              </w:rPr>
            </w:pPr>
          </w:p>
        </w:tc>
      </w:tr>
      <w:tr>
        <w:trPr>
          <w:trHeight w:val="224"/>
        </w:trPr>
        <w:tc>
          <w:tcPr>
            <w:tcW w:w="3660" w:type="dxa"/>
            <w:vAlign w:val="bottom"/>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9"/>
                <w:szCs w:val="19"/>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1,532.3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360.7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1,171.6</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ind w:left="220"/>
        <w:spacing w:after="0"/>
        <w:rPr>
          <w:sz w:val="20"/>
          <w:szCs w:val="20"/>
          <w:color w:val="auto"/>
        </w:rPr>
      </w:pPr>
      <w:r>
        <w:rPr>
          <w:rFonts w:ascii="Arial" w:cs="Arial" w:eastAsia="Arial" w:hAnsi="Arial"/>
          <w:sz w:val="16"/>
          <w:szCs w:val="16"/>
          <w:i w:val="1"/>
          <w:iCs w:val="1"/>
          <w:color w:val="auto"/>
        </w:rPr>
        <w:t>Net Revenue by Geographic Area</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 except percentages)</w:t>
      </w:r>
    </w:p>
    <w:p>
      <w:pPr>
        <w:spacing w:after="0" w:line="50" w:lineRule="exact"/>
        <w:rPr>
          <w:sz w:val="20"/>
          <w:szCs w:val="20"/>
          <w:color w:val="auto"/>
        </w:rPr>
      </w:pPr>
    </w:p>
    <w:p>
      <w:pPr>
        <w:jc w:val="center"/>
        <w:ind w:right="3140"/>
        <w:spacing w:after="0"/>
        <w:rPr>
          <w:sz w:val="20"/>
          <w:szCs w:val="20"/>
          <w:color w:val="auto"/>
        </w:rPr>
      </w:pPr>
      <w:r>
        <w:rPr>
          <w:rFonts w:ascii="Arial" w:cs="Arial" w:eastAsia="Arial" w:hAnsi="Arial"/>
          <w:sz w:val="15"/>
          <w:szCs w:val="15"/>
          <w:color w:val="auto"/>
        </w:rPr>
        <w:t>Net Revenue:</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EMEA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APAC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Emerging Economies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 except percentages)</w:t>
      </w:r>
    </w:p>
    <w:p>
      <w:pPr>
        <w:spacing w:after="0" w:line="77" w:lineRule="exact"/>
        <w:rPr>
          <w:sz w:val="20"/>
          <w:szCs w:val="20"/>
          <w:color w:val="auto"/>
        </w:rPr>
      </w:pPr>
    </w:p>
    <w:p>
      <w:pPr>
        <w:jc w:val="center"/>
        <w:ind w:right="3140"/>
        <w:spacing w:after="0"/>
        <w:rPr>
          <w:sz w:val="20"/>
          <w:szCs w:val="20"/>
          <w:color w:val="auto"/>
        </w:rPr>
      </w:pPr>
      <w:r>
        <w:rPr>
          <w:rFonts w:ascii="Arial" w:cs="Arial" w:eastAsia="Arial" w:hAnsi="Arial"/>
          <w:sz w:val="15"/>
          <w:szCs w:val="15"/>
          <w:color w:val="auto"/>
        </w:rPr>
        <w:t>Net Revenue:</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EMEA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APAC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Emerging Economies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 Constant currency data not provided at this level.</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Change compared to</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 currency</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6"/>
                <w:szCs w:val="16"/>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rPr>
              <w:t>prior fiscal year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71"/>
        </w:trPr>
        <w:tc>
          <w:tcPr>
            <w:tcW w:w="1560" w:type="dxa"/>
            <w:vAlign w:val="bottom"/>
            <w:gridSpan w:val="2"/>
            <w:vMerge w:val="continue"/>
          </w:tcPr>
          <w:p>
            <w:pPr>
              <w:spacing w:after="0"/>
              <w:rPr>
                <w:sz w:val="6"/>
                <w:szCs w:val="6"/>
                <w:color w:val="auto"/>
              </w:rPr>
            </w:pPr>
          </w:p>
        </w:tc>
        <w:tc>
          <w:tcPr>
            <w:tcW w:w="42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vMerge w:val="restart"/>
          </w:tcPr>
          <w:p>
            <w:pPr>
              <w:spacing w:after="0"/>
              <w:rPr>
                <w:sz w:val="6"/>
                <w:szCs w:val="6"/>
                <w:color w:val="auto"/>
              </w:rPr>
            </w:pPr>
          </w:p>
        </w:tc>
        <w:tc>
          <w:tcPr>
            <w:tcW w:w="100" w:type="dxa"/>
            <w:vAlign w:val="bottom"/>
            <w:tcBorders>
              <w:top w:val="single" w:sz="8" w:color="auto"/>
            </w:tcBorders>
            <w:vMerge w:val="restart"/>
          </w:tcPr>
          <w:p>
            <w:pPr>
              <w:spacing w:after="0"/>
              <w:rPr>
                <w:sz w:val="6"/>
                <w:szCs w:val="6"/>
                <w:color w:val="auto"/>
              </w:rPr>
            </w:pPr>
          </w:p>
        </w:tc>
        <w:tc>
          <w:tcPr>
            <w:tcW w:w="96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40" w:type="dxa"/>
            <w:vAlign w:val="bottom"/>
            <w:tcBorders>
              <w:top w:val="single" w:sz="8" w:color="auto"/>
            </w:tcBorders>
            <w:vMerge w:val="restart"/>
          </w:tcPr>
          <w:p>
            <w:pPr>
              <w:jc w:val="right"/>
              <w:ind w:right="7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July 31, 2019</w:t>
            </w: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 July 31,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-8255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342900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267.9</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62.7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15.7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3"/>
                <w:szCs w:val="23"/>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325.9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78.4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247.5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316.2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67.9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154.7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38.8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796.8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185.1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611.7</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23.2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483"/>
        </w:trPr>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Constant currency</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6"/>
                <w:szCs w:val="16"/>
                <w:color w:val="auto"/>
              </w:rPr>
            </w:pPr>
          </w:p>
        </w:tc>
        <w:tc>
          <w:tcPr>
            <w:tcW w:w="17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prior fiscal year</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124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71"/>
        </w:trPr>
        <w:tc>
          <w:tcPr>
            <w:tcW w:w="1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vMerge w:val="restart"/>
          </w:tcPr>
          <w:p>
            <w:pPr>
              <w:jc w:val="right"/>
              <w:ind w:right="361"/>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vMerge w:val="restart"/>
          </w:tcPr>
          <w:p>
            <w:pPr>
              <w:spacing w:after="0"/>
              <w:rPr>
                <w:sz w:val="6"/>
                <w:szCs w:val="6"/>
                <w:color w:val="auto"/>
              </w:rPr>
            </w:pPr>
          </w:p>
        </w:tc>
        <w:tc>
          <w:tcPr>
            <w:tcW w:w="96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40" w:type="dxa"/>
            <w:vAlign w:val="bottom"/>
            <w:tcBorders>
              <w:top w:val="single" w:sz="8" w:color="auto"/>
            </w:tcBorders>
            <w:vMerge w:val="restart"/>
          </w:tcPr>
          <w:p>
            <w:pPr>
              <w:jc w:val="right"/>
              <w:ind w:right="74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July 31,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July 31, 2018</w:t>
            </w:r>
          </w:p>
        </w:tc>
        <w:tc>
          <w:tcPr>
            <w:tcW w:w="0" w:type="dxa"/>
            <w:vAlign w:val="bottom"/>
          </w:tcPr>
          <w:p>
            <w:pPr>
              <w:spacing w:after="0"/>
              <w:rPr>
                <w:sz w:val="1"/>
                <w:szCs w:val="1"/>
                <w:color w:val="auto"/>
              </w:rPr>
            </w:pPr>
          </w:p>
        </w:tc>
      </w:tr>
      <w:tr>
        <w:trPr>
          <w:trHeight w:val="777"/>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517.0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115.9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4"/>
                <w:szCs w:val="24"/>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401.1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24.8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621.7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140.7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481.0</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613.4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144.2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469.2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297.2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75.8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221.4</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1,532.3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360.7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1,171.6</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185.3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45.9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-3503295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-3159760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-2808605</wp:posOffset>
            </wp:positionV>
            <wp:extent cx="724662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-1744980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-1393190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-1050290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-707390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-355600</wp:posOffset>
            </wp:positionV>
            <wp:extent cx="724662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610" w:lineRule="exact"/>
        <w:rPr>
          <w:sz w:val="20"/>
          <w:szCs w:val="20"/>
          <w:color w:val="auto"/>
        </w:rPr>
      </w:pPr>
    </w:p>
    <w:p>
      <w:pPr>
        <w:sectPr>
          <w:pgSz w:w="11900" w:h="16838" w:orient="portrait"/>
          <w:cols w:equalWidth="0" w:num="2">
            <w:col w:w="4080" w:space="720"/>
            <w:col w:w="6620"/>
          </w:cols>
          <w:pgMar w:left="240" w:top="584" w:right="239" w:bottom="1440" w:gutter="0" w:footer="0" w:header="0"/>
          <w:type w:val="continuous"/>
        </w:sectPr>
      </w:pPr>
    </w:p>
    <w:p>
      <w:pPr>
        <w:spacing w:after="0" w:line="3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in the global market may impact our future financial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type w:val="continuous"/>
        </w:sectPr>
      </w:pPr>
    </w:p>
    <w:bookmarkStart w:id="40" w:name="page41"/>
    <w:bookmarkEnd w:id="40"/>
    <w:p>
      <w:pPr>
        <w:ind w:left="260"/>
        <w:spacing w:after="0"/>
        <w:rPr>
          <w:sz w:val="20"/>
          <w:szCs w:val="20"/>
          <w:color w:val="auto"/>
        </w:rPr>
      </w:pPr>
      <w:r>
        <w:rPr>
          <w:rFonts w:ascii="Arial" w:cs="Arial" w:eastAsia="Arial" w:hAnsi="Arial"/>
          <w:sz w:val="18"/>
          <w:szCs w:val="18"/>
          <w:i w:val="1"/>
          <w:iCs w:val="1"/>
          <w:color w:val="auto"/>
        </w:rPr>
        <w:t>Net Revenue by Sales Channel</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14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0"/>
              </w:rPr>
              <w:t>Change compared to</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83"/>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13"/>
                <w:szCs w:val="13"/>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July 31, 2018</w:t>
            </w:r>
          </w:p>
        </w:tc>
        <w:tc>
          <w:tcPr>
            <w:tcW w:w="100" w:type="dxa"/>
            <w:vAlign w:val="bottom"/>
          </w:tcPr>
          <w:p>
            <w:pPr>
              <w:spacing w:after="0"/>
              <w:rPr>
                <w:sz w:val="13"/>
                <w:szCs w:val="13"/>
                <w:color w:val="auto"/>
              </w:rPr>
            </w:pPr>
          </w:p>
        </w:tc>
        <w:tc>
          <w:tcPr>
            <w:tcW w:w="37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16"/>
                <w:szCs w:val="16"/>
                <w:color w:val="auto"/>
              </w:rPr>
            </w:pPr>
          </w:p>
        </w:tc>
        <w:tc>
          <w:tcPr>
            <w:tcW w:w="70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Sales Channel:</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360"/>
              <w:spacing w:after="0"/>
              <w:rPr>
                <w:sz w:val="20"/>
                <w:szCs w:val="20"/>
                <w:color w:val="auto"/>
              </w:rPr>
            </w:pPr>
            <w:r>
              <w:rPr>
                <w:rFonts w:ascii="Arial" w:cs="Arial" w:eastAsia="Arial" w:hAnsi="Arial"/>
                <w:sz w:val="16"/>
                <w:szCs w:val="16"/>
                <w:color w:val="auto"/>
              </w:rPr>
              <w:t>Indirect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560.2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27%</w:t>
            </w:r>
          </w:p>
        </w:tc>
        <w:tc>
          <w:tcPr>
            <w:tcW w:w="100" w:type="dxa"/>
            <w:vAlign w:val="bottom"/>
          </w:tcPr>
          <w:p>
            <w:pPr>
              <w:spacing w:after="0"/>
              <w:rPr>
                <w:sz w:val="19"/>
                <w:szCs w:val="19"/>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440.2</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Up due to an increase in subscription revenue.</w:t>
            </w: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171.5</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Up due to an increase in revenue from EBAs and our</w:t>
            </w:r>
          </w:p>
        </w:tc>
        <w:tc>
          <w:tcPr>
            <w:tcW w:w="0" w:type="dxa"/>
            <w:vAlign w:val="bottom"/>
          </w:tcPr>
          <w:p>
            <w:pPr>
              <w:spacing w:after="0"/>
              <w:rPr>
                <w:sz w:val="1"/>
                <w:szCs w:val="1"/>
                <w:color w:val="auto"/>
              </w:rPr>
            </w:pPr>
          </w:p>
        </w:tc>
      </w:tr>
      <w:tr>
        <w:trPr>
          <w:trHeight w:val="239"/>
        </w:trPr>
        <w:tc>
          <w:tcPr>
            <w:tcW w:w="3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online Autodesk branded store.</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796.8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30%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611.7</w:t>
            </w: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66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Six Months</w:t>
            </w:r>
          </w:p>
        </w:tc>
        <w:tc>
          <w:tcPr>
            <w:tcW w:w="220" w:type="dxa"/>
            <w:vAlign w:val="bottom"/>
          </w:tcPr>
          <w:p>
            <w:pPr>
              <w:spacing w:after="0"/>
              <w:rPr>
                <w:sz w:val="24"/>
                <w:szCs w:val="24"/>
                <w:color w:val="auto"/>
              </w:rPr>
            </w:pPr>
          </w:p>
        </w:tc>
        <w:tc>
          <w:tcPr>
            <w:tcW w:w="1420" w:type="dxa"/>
            <w:vAlign w:val="bottom"/>
            <w:gridSpan w:val="3"/>
          </w:tcPr>
          <w:p>
            <w:pPr>
              <w:ind w:left="140"/>
              <w:spacing w:after="0"/>
              <w:rPr>
                <w:sz w:val="20"/>
                <w:szCs w:val="20"/>
                <w:color w:val="auto"/>
              </w:rPr>
            </w:pPr>
            <w:r>
              <w:rPr>
                <w:rFonts w:ascii="Arial" w:cs="Arial" w:eastAsia="Arial" w:hAnsi="Arial"/>
                <w:sz w:val="14"/>
                <w:szCs w:val="14"/>
                <w:b w:val="1"/>
                <w:bCs w:val="1"/>
                <w:color w:val="auto"/>
                <w:w w:val="90"/>
              </w:rPr>
              <w:t>Change compared to</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13"/>
                <w:szCs w:val="13"/>
                <w:color w:val="auto"/>
              </w:rPr>
            </w:pPr>
          </w:p>
        </w:tc>
        <w:tc>
          <w:tcPr>
            <w:tcW w:w="68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July 31, 2018</w:t>
            </w:r>
          </w:p>
        </w:tc>
        <w:tc>
          <w:tcPr>
            <w:tcW w:w="100" w:type="dxa"/>
            <w:vAlign w:val="bottom"/>
          </w:tcPr>
          <w:p>
            <w:pPr>
              <w:spacing w:after="0"/>
              <w:rPr>
                <w:sz w:val="13"/>
                <w:szCs w:val="13"/>
                <w:color w:val="auto"/>
              </w:rPr>
            </w:pPr>
          </w:p>
        </w:tc>
        <w:tc>
          <w:tcPr>
            <w:tcW w:w="37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Sales Channel:</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360"/>
              <w:spacing w:after="0"/>
              <w:rPr>
                <w:sz w:val="20"/>
                <w:szCs w:val="20"/>
                <w:color w:val="auto"/>
              </w:rPr>
            </w:pPr>
            <w:r>
              <w:rPr>
                <w:rFonts w:ascii="Arial" w:cs="Arial" w:eastAsia="Arial" w:hAnsi="Arial"/>
                <w:sz w:val="16"/>
                <w:szCs w:val="16"/>
                <w:color w:val="auto"/>
              </w:rPr>
              <w:t>Indirect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1,076.6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238.1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28%</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838.5</w:t>
            </w:r>
          </w:p>
        </w:tc>
        <w:tc>
          <w:tcPr>
            <w:tcW w:w="10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Up due to an increase in subscription revenue.</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333.1</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Up due to an increase in revenue from EBAs and our</w:t>
            </w:r>
          </w:p>
        </w:tc>
        <w:tc>
          <w:tcPr>
            <w:tcW w:w="0" w:type="dxa"/>
            <w:vAlign w:val="bottom"/>
          </w:tcPr>
          <w:p>
            <w:pPr>
              <w:spacing w:after="0"/>
              <w:rPr>
                <w:sz w:val="1"/>
                <w:szCs w:val="1"/>
                <w:color w:val="auto"/>
              </w:rPr>
            </w:pPr>
          </w:p>
        </w:tc>
      </w:tr>
      <w:tr>
        <w:trPr>
          <w:trHeight w:val="239"/>
        </w:trPr>
        <w:tc>
          <w:tcPr>
            <w:tcW w:w="3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online Autodesk branded store.</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1,532.3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360.7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31%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1,171.6</w:t>
            </w: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 and Operating Expenses</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Cost of subscription and maintenance revenue includes the labor costs of providing product support to our subscription and maintenance customers, including allocated IT and facilities costs, professional services fees related to operating our network and cloud infrastructure, royalties, depreciation expense and operating lease payments associated with computer equipment, data center costs, salaries, related expenses of network operations, and stock-based compensation expense.</w:t>
      </w:r>
    </w:p>
    <w:p>
      <w:pPr>
        <w:spacing w:after="0" w:line="18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direct material and overhead charges, allocated IT and facilities costs, professional services fees and royalties. Direct material and overhead charges include the cost associated with electronic and physical fulfillment.</w:t>
      </w:r>
    </w:p>
    <w:p>
      <w:pPr>
        <w:spacing w:after="0" w:line="18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labor costs, the volume and mix of product sales, fluctuations in consulting costs, amortization of developed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payment processing fees, the cost of supplies and equipment, gains and losses on our operating expense cash flow hedges, allocated IT and facilities costs, and labor costs associated with sales and order management.</w:t>
      </w:r>
    </w:p>
    <w:p>
      <w:pPr>
        <w:spacing w:after="0" w:line="188"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14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General and administrative expenses include salaries, bonuses, acquisition-related transition costs, benefits and stock-based compensation expense for our CEO, finance, human resources and legal employees, as well as professional fees for legal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ind w:right="380"/>
        <w:spacing w:after="0" w:line="277" w:lineRule="auto"/>
        <w:rPr>
          <w:sz w:val="20"/>
          <w:szCs w:val="20"/>
          <w:color w:val="auto"/>
        </w:rPr>
      </w:pPr>
      <w:r>
        <w:rPr>
          <w:rFonts w:ascii="Arial" w:cs="Arial" w:eastAsia="Arial" w:hAnsi="Arial"/>
          <w:sz w:val="18"/>
          <w:szCs w:val="18"/>
          <w:color w:val="auto"/>
        </w:rPr>
        <w:t>and accounting services, certain foreign business taxes, gains and losses on our operating expense cash flow hedges, expense of travel, entertainment and training, net IT and facilities costs, and the cost of supplies and equipment.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154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1"/>
              </w:rPr>
              <w:t>Change compared to</w:t>
            </w:r>
          </w:p>
        </w:tc>
        <w:tc>
          <w:tcPr>
            <w:tcW w:w="140" w:type="dxa"/>
            <w:vAlign w:val="bottom"/>
          </w:tcPr>
          <w:p>
            <w:pPr>
              <w:spacing w:after="0"/>
              <w:rPr>
                <w:sz w:val="14"/>
                <w:szCs w:val="14"/>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120" w:type="dxa"/>
            <w:vAlign w:val="bottom"/>
          </w:tcPr>
          <w:p>
            <w:pPr>
              <w:spacing w:after="0"/>
              <w:rPr>
                <w:sz w:val="13"/>
                <w:szCs w:val="13"/>
                <w:color w:val="auto"/>
              </w:rPr>
            </w:pPr>
          </w:p>
        </w:tc>
        <w:tc>
          <w:tcPr>
            <w:tcW w:w="54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3"/>
              </w:rPr>
              <w:t>July 31,</w:t>
            </w:r>
          </w:p>
        </w:tc>
        <w:tc>
          <w:tcPr>
            <w:tcW w:w="120" w:type="dxa"/>
            <w:vAlign w:val="bottom"/>
          </w:tcPr>
          <w:p>
            <w:pPr>
              <w:spacing w:after="0"/>
              <w:rPr>
                <w:sz w:val="13"/>
                <w:szCs w:val="13"/>
                <w:color w:val="auto"/>
              </w:rPr>
            </w:pPr>
          </w:p>
        </w:tc>
        <w:tc>
          <w:tcPr>
            <w:tcW w:w="49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08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20" w:type="dxa"/>
            <w:vAlign w:val="bottom"/>
          </w:tcPr>
          <w:p>
            <w:pPr>
              <w:spacing w:after="0"/>
              <w:rPr>
                <w:sz w:val="16"/>
                <w:szCs w:val="16"/>
                <w:color w:val="auto"/>
              </w:rPr>
            </w:pPr>
          </w:p>
        </w:tc>
        <w:tc>
          <w:tcPr>
            <w:tcW w:w="6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Subscription and maintenance</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6"/>
              </w:rPr>
              <w:t>Down primarily due to a decrease in professional fees partially offset by</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an increase in cloud hosting costs.</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Up primarily due to an increase in employee-related costs due to higher</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headcount.</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Amortization of developed technology</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5.2</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153 %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5"/>
              </w:rPr>
              <w:t>Up due to an increase in amortization expense from acquired developed</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6"/>
              </w:rPr>
              <w:t>technologies as a result of our acquisitions in the fourth quarter of fiscal</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year 2019.</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9.7</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316.8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27.7</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289.1</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Up primarily due to an increase in employee-related costs driven by</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7"/>
              </w:rPr>
              <w:t>higher headcount as well as an increase in stock-based compensation</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3"/>
              </w:rPr>
              <w:t>expense driven by awards granted and assumed through our acquisitions</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in the fourth quarter of fiscal year 2019.</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180.8</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 primarily due to an increase in employee-related costs driven by</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higher headcount as well as an increase in stock-based compensation</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expense driven by awards granted and assumed through our acquisitions</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 the fourth quarter of fiscal year 2019.</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22.3</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Up primarily due to an increase in employee-related costs driven by</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7"/>
              </w:rPr>
              <w:t>higher headcount as well as an increase in stock-based compensation</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3"/>
              </w:rPr>
              <w:t>expense driven by awards granted and assumed through our acquisitions</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in the fourth quarter of fiscal year 2019.</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Up due to an increase in amortization expense from acquired purchased</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intangibles as a result of our acquisitions in the fourth quarter of fiscal</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2019.</w:t>
            </w: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w w:val="99"/>
              </w:rPr>
              <w:t>Restructuring and other exit costs, net</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(13.6)</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2"/>
              </w:rPr>
              <w:t>Decreased as we substantially completed the actions authorized under the</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Fiscal 2018 restructuring plan.</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76.9</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566.6</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080" w:type="dxa"/>
            <w:vAlign w:val="bottom"/>
          </w:tcPr>
          <w:p>
            <w:pPr>
              <w:spacing w:after="0"/>
              <w:rPr>
                <w:sz w:val="24"/>
                <w:szCs w:val="2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24"/>
                <w:szCs w:val="24"/>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Change compared to</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Six Months</w:t>
            </w: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120" w:type="dxa"/>
            <w:vAlign w:val="bottom"/>
          </w:tcPr>
          <w:p>
            <w:pPr>
              <w:spacing w:after="0"/>
              <w:rPr>
                <w:sz w:val="13"/>
                <w:szCs w:val="13"/>
                <w:color w:val="auto"/>
              </w:rPr>
            </w:pPr>
          </w:p>
        </w:tc>
        <w:tc>
          <w:tcPr>
            <w:tcW w:w="5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3"/>
              </w:rPr>
              <w:t>July 31,</w:t>
            </w:r>
          </w:p>
        </w:tc>
        <w:tc>
          <w:tcPr>
            <w:tcW w:w="120" w:type="dxa"/>
            <w:vAlign w:val="bottom"/>
          </w:tcPr>
          <w:p>
            <w:pPr>
              <w:spacing w:after="0"/>
              <w:rPr>
                <w:sz w:val="13"/>
                <w:szCs w:val="13"/>
                <w:color w:val="auto"/>
              </w:rPr>
            </w:pPr>
          </w:p>
        </w:tc>
        <w:tc>
          <w:tcPr>
            <w:tcW w:w="49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Subscription and maintenance</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8.2</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3"/>
              </w:rPr>
              <w:t>Up due to an increase in cloud hosting and employee-related costs driven</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by higher headcount.</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 due to an increase in employee-related costs driven by higher</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headcount.</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Amortization of developed technology</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10.8</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154 %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5"/>
              </w:rPr>
              <w:t>Up due to an increase in amortization expense from acquired developed</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6"/>
              </w:rPr>
              <w:t>technologies as a result of our acquisitions in the fourth quarter of fiscal</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year 2019.</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25.6</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630.1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64.6</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565.5</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7"/>
              </w:rPr>
              <w:t>Up primarily due to increased employee-related costs driven by higher</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4"/>
              </w:rPr>
              <w:t>headcount as well as an increase in stock-based compensation expense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7"/>
              </w:rPr>
              <w:t>driven by awards granted and assumed through our acquisitions in the</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fourth quarter of fiscal 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4"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19 %</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353.6</w:t>
            </w:r>
          </w:p>
        </w:tc>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Up primarily due to increased employee-related costs driven by higher</w:t>
            </w:r>
          </w:p>
        </w:tc>
      </w:tr>
      <w:tr>
        <w:trPr>
          <w:trHeight w:val="203"/>
        </w:trPr>
        <w:tc>
          <w:tcPr>
            <w:tcW w:w="3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headcount as well as an increase in stock-based compensation expense</w:t>
            </w:r>
          </w:p>
        </w:tc>
      </w:tr>
      <w:tr>
        <w:trPr>
          <w:trHeight w:val="203"/>
        </w:trPr>
        <w:tc>
          <w:tcPr>
            <w:tcW w:w="3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driven by awards granted and assumed through our acquisitions in the</w:t>
            </w: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fourth quarter of fiscal 2019.</w:t>
            </w: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32 %</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152.0</w:t>
            </w:r>
          </w:p>
        </w:tc>
        <w:tc>
          <w:tcPr>
            <w:tcW w:w="5020" w:type="dxa"/>
            <w:vAlign w:val="bottom"/>
          </w:tcPr>
          <w:p>
            <w:pPr>
              <w:ind w:left="140"/>
              <w:spacing w:after="0"/>
              <w:rPr>
                <w:sz w:val="20"/>
                <w:szCs w:val="20"/>
                <w:color w:val="auto"/>
              </w:rPr>
            </w:pPr>
            <w:r>
              <w:rPr>
                <w:rFonts w:ascii="Arial" w:cs="Arial" w:eastAsia="Arial" w:hAnsi="Arial"/>
                <w:sz w:val="16"/>
                <w:szCs w:val="16"/>
                <w:color w:val="auto"/>
                <w:w w:val="97"/>
              </w:rPr>
              <w:t>Up primarily due to increased employee-related costs driven by higher</w:t>
            </w:r>
          </w:p>
        </w:tc>
      </w:tr>
      <w:tr>
        <w:trPr>
          <w:trHeight w:val="203"/>
        </w:trPr>
        <w:tc>
          <w:tcPr>
            <w:tcW w:w="3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w w:val="94"/>
              </w:rPr>
              <w:t>headcount as well as an increase in stock-based compensation expense</w:t>
            </w:r>
          </w:p>
        </w:tc>
      </w:tr>
      <w:tr>
        <w:trPr>
          <w:trHeight w:val="203"/>
        </w:trPr>
        <w:tc>
          <w:tcPr>
            <w:tcW w:w="3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w w:val="97"/>
              </w:rPr>
              <w:t>driven by awards granted and assumed through our acquisitions in the</w:t>
            </w:r>
          </w:p>
        </w:tc>
      </w:tr>
      <w:tr>
        <w:trPr>
          <w:trHeight w:val="206"/>
        </w:trPr>
        <w:tc>
          <w:tcPr>
            <w:tcW w:w="3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rPr>
              <w:t>fourth quarter of fiscal 2019.</w:t>
            </w:r>
          </w:p>
        </w:tc>
      </w:tr>
      <w:tr>
        <w:trPr>
          <w:trHeight w:val="33"/>
        </w:trPr>
        <w:tc>
          <w:tcPr>
            <w:tcW w:w="3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157 %</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Up due to an increase in amortization expense from acquired purchased</w:t>
            </w:r>
          </w:p>
        </w:tc>
      </w:tr>
      <w:tr>
        <w:trPr>
          <w:trHeight w:val="203"/>
        </w:trPr>
        <w:tc>
          <w:tcPr>
            <w:tcW w:w="3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intangibles as a result of our acquisitions in the fourth quarter of fiscal</w:t>
            </w: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year 2019.</w:t>
            </w: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w w:val="99"/>
              </w:rPr>
              <w:t>Restructuring and other exit costs, net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(35.9)</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5020" w:type="dxa"/>
            <w:vAlign w:val="bottom"/>
          </w:tcPr>
          <w:p>
            <w:pPr>
              <w:ind w:left="140"/>
              <w:spacing w:after="0"/>
              <w:rPr>
                <w:sz w:val="20"/>
                <w:szCs w:val="20"/>
                <w:color w:val="auto"/>
              </w:rPr>
            </w:pPr>
            <w:r>
              <w:rPr>
                <w:rFonts w:ascii="Arial" w:cs="Arial" w:eastAsia="Arial" w:hAnsi="Arial"/>
                <w:sz w:val="16"/>
                <w:szCs w:val="16"/>
                <w:color w:val="auto"/>
                <w:w w:val="92"/>
              </w:rPr>
              <w:t>Decreased as we substantially completed the actions authorized under the</w:t>
            </w:r>
          </w:p>
        </w:tc>
      </w:tr>
      <w:tr>
        <w:trPr>
          <w:trHeight w:val="206"/>
        </w:trPr>
        <w:tc>
          <w:tcPr>
            <w:tcW w:w="3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rPr>
              <w:t>Fiscal 2018 restructuring plan.</w:t>
            </w:r>
          </w:p>
        </w:tc>
      </w:tr>
      <w:tr>
        <w:trPr>
          <w:trHeight w:val="33"/>
        </w:trPr>
        <w:tc>
          <w:tcPr>
            <w:tcW w:w="30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$ 1,271.5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$ 156.5</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14 %</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$ 1,115.0</w:t>
            </w:r>
          </w:p>
        </w:tc>
        <w:tc>
          <w:tcPr>
            <w:tcW w:w="5020" w:type="dxa"/>
            <w:vAlign w:val="bottom"/>
            <w:tcBorders>
              <w:bottom w:val="single" w:sz="8" w:color="CCEEFF"/>
            </w:tcBorders>
            <w:shd w:val="clear" w:color="auto" w:fill="CCEEFF"/>
          </w:tcPr>
          <w:p>
            <w:pPr>
              <w:spacing w:after="0"/>
              <w:rPr>
                <w:sz w:val="21"/>
                <w:szCs w:val="2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 Percentage is not meaningful.</w:t>
      </w:r>
    </w:p>
    <w:p>
      <w:pPr>
        <w:spacing w:after="0" w:line="20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highlights our expectation for the absolute dollar change and percent of revenue change between the third quarter of fiscal 2020, as compared to the third quarter of fiscal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Absolute dollar impact</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of net revenue impact</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Flat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Decrease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Flat</w:t>
            </w:r>
          </w:p>
        </w:tc>
      </w:tr>
      <w:tr>
        <w:trPr>
          <w:trHeight w:val="33"/>
        </w:trPr>
        <w:tc>
          <w:tcPr>
            <w:tcW w:w="67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Other (Expense)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income,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7"/>
              </w:rPr>
              <w:t>Three Months Ended July 31,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23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net</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Gain on foreign currency</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3.9</w:t>
            </w: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strategic investments and dispositions, net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4.1</w:t>
            </w:r>
          </w:p>
        </w:tc>
      </w:tr>
      <w:tr>
        <w:trPr>
          <w:trHeight w:val="33"/>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income, net</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Interest and other (expense) income, net, negatively changed by $8.6 million and $16.3 million during the three and six months ended July 31, 2019, respectively, as compared to the same periods in the prior fiscal year, primarily driven by an increase in interest expense resulting from our term loan entered into on December 17, 2018, with aggregate principal balance outstanding of $250.0 million as of July 31, 2019, as well as a decrease in unrealized gains on our privately-held strategic investments.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and investment income fluctuates based on average cash, marketable securities, debt balances, average maturities and interest rates.</w:t>
      </w:r>
    </w:p>
    <w:p>
      <w:pPr>
        <w:spacing w:after="0" w:line="24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34" w:right="239" w:bottom="1440" w:gutter="0" w:footer="0" w:header="0"/>
        </w:sectPr>
      </w:pPr>
    </w:p>
    <w:bookmarkStart w:id="43" w:name="page44"/>
    <w:bookmarkEnd w:id="43"/>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360" w:firstLine="432"/>
        <w:spacing w:after="0" w:line="297" w:lineRule="auto"/>
        <w:rPr>
          <w:sz w:val="20"/>
          <w:szCs w:val="20"/>
          <w:color w:val="auto"/>
        </w:rPr>
      </w:pPr>
      <w:r>
        <w:rPr>
          <w:rFonts w:ascii="Arial" w:cs="Arial" w:eastAsia="Arial" w:hAnsi="Arial"/>
          <w:sz w:val="16"/>
          <w:szCs w:val="16"/>
          <w:color w:val="auto"/>
        </w:rPr>
        <w:t>Autodesk had an income tax expense of $26.3 million, relative to pre-tax income of $66.5 million for the three months ended July 31, 2019, and an income tax expense of $16.0 million, relative to pre-tax losses of $23.4 million for the three months ended July 31, 2018. Autodesk had an income tax expense of $59.1 million, relative to pre-tax income of $75.1 million for the six months ended July 31, 2019, and an income tax expense of 34.6 million, relative to pre-tax losses of $87.2 million for the six months ended July 31, 2018. Income tax expense for the three and six months ended July 31, 2019, increased primarily due to increased foreign income taxes as a result of the increased foreign earnings and withholding taxes.</w:t>
      </w:r>
    </w:p>
    <w:p>
      <w:pPr>
        <w:spacing w:after="0" w:line="15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as a significant source of negative evidence and maintained a valuation allowance against our deferred tax attributes in the U.S. and certain foreign jurisdictions as of July 31, 2019.</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we continually strive to optimize our overall business model and tax laws and regulations evolve, tax planning strategies may become feasible and prudent whereby management may determine that it is more likely than not that the foreign or U.S., federal or state deferred tax assets will be realized; therefore, we will continue to evaluate the evidence around our ability to utilize our net deferred tax assets each quarter, both in U.S. and foreign jurisdictions, based on all available evidence, both positive and negative.</w:t>
      </w:r>
    </w:p>
    <w:p>
      <w:pPr>
        <w:spacing w:after="0" w:line="187"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As of July 31, 2019, we had $214.4 million of gross unrecognized tax benefits, of which $196.7 million would reduce our valuation allowance, if recognized. The remaining $17.7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6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anticipate that the U.S. Department of Treasury will continue to interpret or issue guidance on how provisions of the Tax Act will be applied or otherwise administered. As future guidance is issued, we may make adjustments to amounts that we have previously recorded that may materially impact our financial statements in the period in which the adjustments are made.</w:t>
      </w:r>
    </w:p>
    <w:p>
      <w:pPr>
        <w:spacing w:after="0" w:line="18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including impacts of the Tax Act. A significant amount of our earnings is generated by our Europe and Asia Pacific subsidiaries. Our future effective tax rates may be adversely affected to the extent earnings are lower than anticipated in countries where we have lower statutory tax rates.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and six months ended July 31, 2019 and 2018, our gross profit, gross margin, income (loss) from operations, operating margin, net income (loss), diluted net income (loss) per share and diluted shares used in per share calculation on a GAAP and non-GAAP basis were as follows (in millions except for gross margin, operating margin, and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06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 July 31,</w:t>
            </w:r>
          </w:p>
        </w:tc>
        <w:tc>
          <w:tcPr>
            <w:tcW w:w="440" w:type="dxa"/>
            <w:vAlign w:val="bottom"/>
          </w:tcPr>
          <w:p>
            <w:pPr>
              <w:spacing w:after="0"/>
              <w:rPr>
                <w:sz w:val="16"/>
                <w:szCs w:val="16"/>
                <w:color w:val="auto"/>
              </w:rPr>
            </w:pPr>
          </w:p>
        </w:tc>
        <w:tc>
          <w:tcPr>
            <w:tcW w:w="25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54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6"/>
        </w:trPr>
        <w:tc>
          <w:tcPr>
            <w:tcW w:w="5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86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717.3</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541.9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1,370.1</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1,035.0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w w:val="89"/>
              </w:rPr>
              <w:t>730.7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549.3</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1,397.6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1,049.5</w:t>
            </w:r>
          </w:p>
        </w:tc>
      </w:tr>
      <w:tr>
        <w:trPr>
          <w:trHeight w:val="33"/>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90 %</w:t>
            </w:r>
          </w:p>
        </w:tc>
      </w:tr>
      <w:tr>
        <w:trPr>
          <w:trHeight w:val="33"/>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86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73.8</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98.6</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(80.0)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w w:val="89"/>
              </w:rPr>
              <w:t>186.5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318.4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84.6</w:t>
            </w:r>
          </w:p>
        </w:tc>
      </w:tr>
      <w:tr>
        <w:trPr>
          <w:trHeight w:val="33"/>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33"/>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40.2</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16.0</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(121.8)</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w w:val="89"/>
              </w:rPr>
              <w:t>145.1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244.1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57.6</w:t>
            </w:r>
          </w:p>
        </w:tc>
      </w:tr>
      <w:tr>
        <w:trPr>
          <w:trHeight w:val="33"/>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income (loss) per share</w:t>
            </w:r>
          </w:p>
        </w:tc>
        <w:tc>
          <w:tcPr>
            <w:tcW w:w="86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0.18</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0.07</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(0.56)</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Non-GAAP diluted net income per share</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0.65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1.10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0.26</w:t>
            </w:r>
          </w:p>
        </w:tc>
      </w:tr>
      <w:tr>
        <w:trPr>
          <w:trHeight w:val="33"/>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weighted average shares used in per share calculation</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222.4</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219.0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222.3</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218.8</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860" w:type="dxa"/>
            <w:vAlign w:val="bottom"/>
          </w:tcPr>
          <w:p>
            <w:pPr>
              <w:spacing w:after="0"/>
              <w:rPr>
                <w:sz w:val="20"/>
                <w:szCs w:val="20"/>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color w:val="auto"/>
                <w:w w:val="89"/>
              </w:rPr>
              <w:t>222.4</w:t>
            </w:r>
          </w:p>
        </w:tc>
        <w:tc>
          <w:tcPr>
            <w:tcW w:w="400" w:type="dxa"/>
            <w:vAlign w:val="bottom"/>
          </w:tcPr>
          <w:p>
            <w:pPr>
              <w:spacing w:after="0"/>
              <w:rPr>
                <w:sz w:val="20"/>
                <w:szCs w:val="20"/>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222.2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222.3</w:t>
            </w:r>
          </w:p>
        </w:tc>
        <w:tc>
          <w:tcPr>
            <w:tcW w:w="400" w:type="dxa"/>
            <w:vAlign w:val="bottom"/>
          </w:tcPr>
          <w:p>
            <w:pPr>
              <w:spacing w:after="0"/>
              <w:rPr>
                <w:sz w:val="20"/>
                <w:szCs w:val="20"/>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222.0</w:t>
            </w:r>
          </w:p>
        </w:tc>
      </w:tr>
    </w:tbl>
    <w:p>
      <w:pPr>
        <w:spacing w:after="0" w:line="235" w:lineRule="exact"/>
        <w:rPr>
          <w:sz w:val="20"/>
          <w:szCs w:val="20"/>
          <w:color w:val="auto"/>
        </w:rPr>
      </w:pPr>
    </w:p>
    <w:p>
      <w:pPr>
        <w:ind w:right="120" w:firstLine="405"/>
        <w:spacing w:after="0" w:line="288" w:lineRule="auto"/>
        <w:rPr>
          <w:sz w:val="20"/>
          <w:szCs w:val="20"/>
          <w:color w:val="auto"/>
        </w:rPr>
      </w:pPr>
      <w:r>
        <w:rPr>
          <w:rFonts w:ascii="Arial" w:cs="Arial" w:eastAsia="Arial" w:hAnsi="Arial"/>
          <w:sz w:val="16"/>
          <w:szCs w:val="16"/>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to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69"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July 31,</w:t>
            </w:r>
          </w:p>
        </w:tc>
        <w:tc>
          <w:tcPr>
            <w:tcW w:w="440" w:type="dxa"/>
            <w:vAlign w:val="bottom"/>
          </w:tcPr>
          <w:p>
            <w:pPr>
              <w:spacing w:after="0"/>
              <w:rPr>
                <w:sz w:val="16"/>
                <w:szCs w:val="16"/>
                <w:color w:val="auto"/>
              </w:rPr>
            </w:pPr>
          </w:p>
        </w:tc>
        <w:tc>
          <w:tcPr>
            <w:tcW w:w="236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541.9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1,035.0</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730.7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549.3</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1,397.6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1,049.5</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margin</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gross margin (1)</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Income (loss) from operations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Acquisition related costs</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186.5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318.4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Operating margin</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 %</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300" w:type="dxa"/>
            <w:vAlign w:val="bottom"/>
          </w:tcPr>
          <w:p>
            <w:pPr>
              <w:spacing w:after="0"/>
              <w:rPr>
                <w:sz w:val="20"/>
                <w:szCs w:val="20"/>
                <w:color w:val="auto"/>
              </w:rPr>
            </w:pP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operating margin (1)</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income (loss)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6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7"/>
                <w:szCs w:val="17"/>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(121.8)</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CEO transition costs</w:t>
            </w:r>
          </w:p>
        </w:tc>
        <w:tc>
          <w:tcPr>
            <w:tcW w:w="30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strategic investments and dispositions,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Discrete tax benefit (provision) items</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145.1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244.1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240" w:top="580" w:right="5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4"/>
              </w:rPr>
              <w:t>Three Months Ended July 31,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(loss) per share</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related costs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8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strategic investments and dispositions, net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Discrete tax benefit (provision) items</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5"/>
              </w:rPr>
              <w:t>(0.04)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Non-GAAP diluted net income per share</w:t>
            </w:r>
          </w:p>
        </w:tc>
        <w:tc>
          <w:tcPr>
            <w:tcW w:w="880" w:type="dxa"/>
            <w:vAlign w:val="bottom"/>
            <w:tcBorders>
              <w:top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33"/>
        </w:trPr>
        <w:tc>
          <w:tcPr>
            <w:tcW w:w="56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20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i w:val="1"/>
          <w:iCs w:val="1"/>
          <w:color w:val="auto"/>
        </w:rPr>
        <w:t xml:space="preserve">Restructuring and other exit costs, net. </w:t>
      </w:r>
      <w:r>
        <w:rPr>
          <w:rFonts w:ascii="Arial" w:cs="Arial" w:eastAsia="Arial" w:hAnsi="Arial"/>
          <w:sz w:val="16"/>
          <w:szCs w:val="16"/>
          <w:color w:val="auto"/>
        </w:rPr>
        <w:t>These expenses are associated with realigning our business strategies based on current economic conditions.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54"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i w:val="1"/>
          <w:iCs w:val="1"/>
          <w:color w:val="auto"/>
        </w:rPr>
        <w:t xml:space="preserve">Acquisition related costs. </w:t>
      </w:r>
      <w:r>
        <w:rPr>
          <w:rFonts w:ascii="Arial" w:cs="Arial" w:eastAsia="Arial" w:hAnsi="Arial"/>
          <w:sz w:val="17"/>
          <w:szCs w:val="17"/>
          <w:color w:val="auto"/>
        </w:rPr>
        <w:t>We exclude certain acquisition related costs, including due diligence costs, professional fees in connection with an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financing costs, and certain integration 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 related costs, may not be indicative of such future costs. We believe excluding acquisition related costs facilitates the comparison of our financial results to the Company's historical operating results and to other companies in our industry.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06" w:right="239" w:bottom="1440" w:gutter="0" w:footer="0" w:header="0"/>
        </w:sectPr>
      </w:pPr>
    </w:p>
    <w:bookmarkStart w:id="47" w:name="page48"/>
    <w:bookmarkEnd w:id="47"/>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Loss (gain) on strategic investments and dispositions. </w:t>
      </w:r>
      <w:r>
        <w:rPr>
          <w:rFonts w:ascii="Arial" w:cs="Arial" w:eastAsia="Arial" w:hAnsi="Arial"/>
          <w:sz w:val="18"/>
          <w:szCs w:val="18"/>
          <w:color w:val="auto"/>
        </w:rPr>
        <w:t>We exclude gains and losses related to our strategic investments and dispositions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93"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i w:val="1"/>
          <w:iCs w:val="1"/>
          <w:color w:val="auto"/>
        </w:rPr>
        <w:t xml:space="preserve">Discrete tax provision items. </w:t>
      </w:r>
      <w:r>
        <w:rPr>
          <w:rFonts w:ascii="Arial" w:cs="Arial" w:eastAsia="Arial" w:hAnsi="Arial"/>
          <w:sz w:val="16"/>
          <w:szCs w:val="16"/>
          <w:color w:val="auto"/>
        </w:rPr>
        <w:t>We exclude the GAAP tax provision, including discrete items, from the non-GAAP measure of net (loss) income, 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2"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3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i w:val="1"/>
          <w:iCs w:val="1"/>
          <w:color w:val="auto"/>
        </w:rPr>
        <w:t xml:space="preserve">Income tax effects on the difference between GAAP and non-GAAP costs and expenses. </w:t>
      </w:r>
      <w:r>
        <w:rPr>
          <w:rFonts w:ascii="Arial" w:cs="Arial" w:eastAsia="Arial" w:hAnsi="Arial"/>
          <w:sz w:val="17"/>
          <w:szCs w:val="17"/>
          <w:color w:val="auto"/>
        </w:rPr>
        <w:t>The income tax effects that are excluded from the non-GAAP</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60" w:firstLine="405"/>
        <w:spacing w:after="0" w:line="279" w:lineRule="auto"/>
        <w:rPr>
          <w:sz w:val="20"/>
          <w:szCs w:val="20"/>
          <w:color w:val="auto"/>
        </w:rPr>
      </w:pPr>
      <w:r>
        <w:rPr>
          <w:rFonts w:ascii="Arial" w:cs="Arial" w:eastAsia="Arial" w:hAnsi="Arial"/>
          <w:sz w:val="17"/>
          <w:szCs w:val="17"/>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repay existing debt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At July 31, 2019, our principal sources of liquidity were cash, cash equivalents and marketable securities totaling $991.3 million and net accounts receivable of $347.4 million.</w:t>
      </w:r>
    </w:p>
    <w:p>
      <w:pPr>
        <w:spacing w:after="0" w:line="17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December 17, 2018, Autodesk entered into a Credit Agreement (the “Credit Agreement”) for an unsecured revolving loan facility in the aggregate principal amount of $650.0 million, with an option to request increases in the amount of the credit facility by up to an additional $350.0 million. The maturity date on the credit facility is December 2023. At July 31, 2019, Autodesk had no outstanding borrowings on this line of credit. As of September 4, 2019, we have no amounts outstanding under the credit facility. See Part I, Item 1, Note 12, "Borrowing Arrangements," in the Notes to Condensed Consolidated Financial Statements for further discussion on our covenant requirements. If we are unable to remain in compliance with the covenants, we will not be able to draw on our credit facility.</w:t>
      </w:r>
    </w:p>
    <w:p>
      <w:pPr>
        <w:spacing w:after="0" w:line="193"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On December 17, 2018, we also entered into a Term Loan Agreement which provided for a delayed draw term loan facility in the aggregate principal amount of $500.0 million. On December 19, 2018, we borrowed a $500.0 million term loan under the Term Loan Agreement in connection with the acquisition of PlanGrid, Inc. in December 2018. See Part I, Item 1, Note 12, "Borrowing Arrangements," in the Notes to Condensed Consolidated Financial Statements for further discussion on the Term Loan Agreement terms. At July 31, 2019, $250.0 million was outstanding under the Term Loan Agreement.</w:t>
      </w:r>
    </w:p>
    <w:p>
      <w:pPr>
        <w:spacing w:after="0" w:line="154"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In addition to the Term Loan Agreement, as of July 31, 2019, we have $1.60 billion aggregate principal amount of Notes outstanding, of which $449.2 million is classified as "Current portion of long-term notes payable, net" in the Condensed Consolidated Balance Sheets in Part I, Item 1. See Part I, Item 1, Note 12, "Borrowing Arrangements," in the Notes to Condensed Consolidated Financial Statements for further discussion.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814" w:right="259" w:bottom="1440" w:gutter="0" w:footer="0" w:header="0"/>
        </w:sectPr>
      </w:pPr>
    </w:p>
    <w:bookmarkStart w:id="48" w:name="page49"/>
    <w:bookmarkEnd w:id="48"/>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$650.0 million line of credit as well as our Term Loan Agreement.</w:t>
      </w:r>
    </w:p>
    <w:p>
      <w:pPr>
        <w:spacing w:after="0" w:line="181" w:lineRule="exact"/>
        <w:rPr>
          <w:sz w:val="20"/>
          <w:szCs w:val="20"/>
          <w:color w:val="auto"/>
        </w:rPr>
      </w:pPr>
    </w:p>
    <w:p>
      <w:pPr>
        <w:ind w:right="5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United States. As of July 31, 2019, approximately 55%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The Tax Act includes a mandatory one-time tax on accumulated earnings of foreign subsidiaries and generally eliminates U.S. taxes on foreign subsidiary distributions in future periods. As a result, earnings in foreign jurisdictions are generally available for distribution to the U.S.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16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440.5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r>
      <w:tr>
        <w:trPr>
          <w:trHeight w:val="33"/>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Net cash provided by operating activities of $440.5 million for the six months ended July 31, 2019, includes $260.2 million of non-cash expenses, including stock-based compensation expense, and depreciation, amortization and accretion expense, an increase in changes in operating assets and liabilities of $164.3 million, and our net income of $16.0 million.</w:t>
      </w:r>
    </w:p>
    <w:p>
      <w:pPr>
        <w:spacing w:after="0" w:line="18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primary working capital source of cash was a decrease in accounts receivable from $474.3 million as of January 31, 2019, to $347.4 million as of July 31, 2019. The primary working capital uses of cash was a decrease in accounts payable and accrued liabilities.</w:t>
      </w:r>
    </w:p>
    <w:p>
      <w:pPr>
        <w:spacing w:after="0" w:line="17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Net cash used in investing activities was $32.5 million for the six months ended July 31, 2019, primarily due to capital expenditures and purchases of marketable securities partially offset by the sale and maturities of marketable securities.</w:t>
      </w:r>
    </w:p>
    <w:p>
      <w:pPr>
        <w:spacing w:after="0" w:line="170"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At July 31, 2019, our short-term investment portfolio had an estimated fair value of $67.4 million and a cost basis of $59.8 million. The portfolio fair value consists of short-term trading securities that were invested in a defined set of mutual funds as directed by the participants in our Deferred Compensation Plan (see Note 10, “Deferred Compensation,” in the Notes to the Condensed Consolidated Financial Statements for further discussion).</w:t>
      </w:r>
    </w:p>
    <w:p>
      <w:pPr>
        <w:spacing w:after="0" w:line="166" w:lineRule="exact"/>
        <w:rPr>
          <w:sz w:val="20"/>
          <w:szCs w:val="20"/>
          <w:color w:val="auto"/>
        </w:rPr>
      </w:pPr>
    </w:p>
    <w:p>
      <w:pPr>
        <w:ind w:right="780" w:firstLine="405"/>
        <w:spacing w:after="0" w:line="308" w:lineRule="auto"/>
        <w:rPr>
          <w:sz w:val="20"/>
          <w:szCs w:val="20"/>
          <w:color w:val="auto"/>
        </w:rPr>
      </w:pPr>
      <w:r>
        <w:rPr>
          <w:rFonts w:ascii="Arial" w:cs="Arial" w:eastAsia="Arial" w:hAnsi="Arial"/>
          <w:sz w:val="17"/>
          <w:szCs w:val="17"/>
          <w:color w:val="auto"/>
        </w:rPr>
        <w:t>Net cash used in financing activities was $366.1 million for the six months ended July 31, 2019, primary due to the repayment of debt and the repurchases of common stock. These cash outflows were offset in part by cash proceeds from the issuance of common stock.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common stock in open-market transactions during the three months ended July 31, 2019:</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9"/>
              </w:rPr>
              <w:t>Paid per Share</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1 - May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161.70</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June 1 - June 30</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157.96</w:t>
            </w:r>
          </w:p>
        </w:tc>
        <w:tc>
          <w:tcPr>
            <w:tcW w:w="120" w:type="dxa"/>
            <w:vAlign w:val="bottom"/>
          </w:tcPr>
          <w:p>
            <w:pPr>
              <w:spacing w:after="0"/>
              <w:rPr>
                <w:sz w:val="20"/>
                <w:szCs w:val="20"/>
                <w:color w:val="auto"/>
              </w:rPr>
            </w:pPr>
          </w:p>
        </w:tc>
        <w:tc>
          <w:tcPr>
            <w:tcW w:w="2160" w:type="dxa"/>
            <w:vAlign w:val="bottom"/>
          </w:tcPr>
          <w:p>
            <w:pPr>
              <w:jc w:val="right"/>
              <w:ind w:right="43"/>
              <w:spacing w:after="0"/>
              <w:rPr>
                <w:sz w:val="20"/>
                <w:szCs w:val="20"/>
                <w:color w:val="auto"/>
              </w:rPr>
            </w:pPr>
            <w:r>
              <w:rPr>
                <w:rFonts w:ascii="Arial" w:cs="Arial" w:eastAsia="Arial" w:hAnsi="Arial"/>
                <w:sz w:val="16"/>
                <w:szCs w:val="16"/>
                <w:color w:val="auto"/>
              </w:rPr>
              <w:t>0.1</w:t>
            </w:r>
          </w:p>
        </w:tc>
        <w:tc>
          <w:tcPr>
            <w:tcW w:w="2260" w:type="dxa"/>
            <w:vAlign w:val="bottom"/>
            <w:gridSpan w:val="2"/>
          </w:tcPr>
          <w:p>
            <w:pPr>
              <w:jc w:val="right"/>
              <w:ind w:right="28"/>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1 - July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159.60</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0.3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159.54</w:t>
            </w:r>
          </w:p>
        </w:tc>
        <w:tc>
          <w:tcPr>
            <w:tcW w:w="12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jc w:val="both"/>
        <w:ind w:left="420" w:right="260" w:hanging="412"/>
        <w:spacing w:after="0" w:line="328"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These amounts correspond to the plan approved by the Board of Directors in September 2016 that authorized the repurchase of 30.0 million shares. The plan does not have a fixed expiration date. See Note 15, “Stockholders' Deficit,” in the Notes to the unaudited Condensed Consolidated Financial Statements for further discussion.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2019,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Annualized Recurring Revenue (ARR): </w:t>
      </w:r>
      <w:r>
        <w:rPr>
          <w:rFonts w:ascii="Arial" w:cs="Arial" w:eastAsia="Arial" w:hAnsi="Arial"/>
          <w:sz w:val="16"/>
          <w:szCs w:val="16"/>
          <w:color w:val="auto"/>
        </w:rPr>
        <w:t>Represents the annualized value of our average monthly recurring revenue for the preceding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plan ARR” captures ARR relating to traditional maintenance attached to perpetual licenses. "Subscription plan ARR" captures ARR relating to subscription offerings. Refer to the definition of recurring revenue below for more details on what is included within ARR. Recurring revenue acquired with the acquisition of a business is captured when total subscriptions are captured in our systems and may cause variability in the comparison of this calculation.</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Billings: </w:t>
      </w:r>
      <w:r>
        <w:rPr>
          <w:rFonts w:ascii="Arial" w:cs="Arial" w:eastAsia="Arial" w:hAnsi="Arial"/>
          <w:sz w:val="18"/>
          <w:szCs w:val="18"/>
          <w:color w:val="auto"/>
        </w:rPr>
        <w:t>Total revenue plus the net change in deferred revenue from the beginning to the end of the period.</w:t>
      </w:r>
    </w:p>
    <w:p>
      <w:pPr>
        <w:spacing w:after="0" w:line="225"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i w:val="1"/>
          <w:iCs w:val="1"/>
          <w:color w:val="auto"/>
        </w:rPr>
        <w:t xml:space="preserve">Cloud Service Offerings: </w:t>
      </w:r>
      <w:r>
        <w:rPr>
          <w:rFonts w:ascii="Arial" w:cs="Arial" w:eastAsia="Arial" w:hAnsi="Arial"/>
          <w:sz w:val="16"/>
          <w:szCs w:val="16"/>
          <w:color w:val="auto"/>
        </w:rPr>
        <w:t>Represents individual term-based offerings deployed through web browser technologies or in a hybrid software and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 Cloud service offerings that are bundled with other product offerings are not captured as a separate cloud service offering.</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Constant Currency (CC) Growth Rates: </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Core Business: </w:t>
      </w:r>
      <w:r>
        <w:rPr>
          <w:rFonts w:ascii="Arial" w:cs="Arial" w:eastAsia="Arial" w:hAnsi="Arial"/>
          <w:sz w:val="18"/>
          <w:szCs w:val="18"/>
          <w:color w:val="auto"/>
        </w:rPr>
        <w:t>Represents the combination of maintenance, product, and EBA.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0" w:name="page51"/>
    <w:bookmarkEnd w:id="50"/>
    <w:p>
      <w:pPr>
        <w:ind w:right="160"/>
        <w:spacing w:after="0" w:line="277" w:lineRule="auto"/>
        <w:rPr>
          <w:sz w:val="20"/>
          <w:szCs w:val="20"/>
          <w:color w:val="auto"/>
        </w:rPr>
      </w:pPr>
      <w:r>
        <w:rPr>
          <w:rFonts w:ascii="Arial" w:cs="Arial" w:eastAsia="Arial" w:hAnsi="Arial"/>
          <w:sz w:val="18"/>
          <w:szCs w:val="18"/>
          <w:i w:val="1"/>
          <w:iCs w:val="1"/>
          <w:color w:val="auto"/>
        </w:rPr>
        <w:t xml:space="preserve">Enterprise Business Agreements (EBAs): </w:t>
      </w:r>
      <w:r>
        <w:rPr>
          <w:rFonts w:ascii="Arial" w:cs="Arial" w:eastAsia="Arial" w:hAnsi="Arial"/>
          <w:sz w:val="18"/>
          <w:szCs w:val="18"/>
          <w:color w:val="auto"/>
        </w:rPr>
        <w:t>Represents programs providing enterprise customers with token-based access or a fixed maximum number of seats</w:t>
      </w:r>
      <w:r>
        <w:rPr>
          <w:rFonts w:ascii="Arial" w:cs="Arial" w:eastAsia="Arial" w:hAnsi="Arial"/>
          <w:sz w:val="18"/>
          <w:szCs w:val="18"/>
          <w:i w:val="1"/>
          <w:iCs w:val="1"/>
          <w:color w:val="auto"/>
        </w:rPr>
        <w:t xml:space="preserve"> </w:t>
      </w:r>
      <w:r>
        <w:rPr>
          <w:rFonts w:ascii="Arial" w:cs="Arial" w:eastAsia="Arial" w:hAnsi="Arial"/>
          <w:sz w:val="18"/>
          <w:szCs w:val="18"/>
          <w:color w:val="auto"/>
        </w:rPr>
        <w:t>to a broad pool of Autodesk products over a defined contract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Cash flow from operating activities minus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Industry Collections: </w:t>
      </w:r>
      <w:r>
        <w:rPr>
          <w:rFonts w:ascii="Arial" w:cs="Arial" w:eastAsia="Arial" w:hAnsi="Arial"/>
          <w:sz w:val="17"/>
          <w:szCs w:val="17"/>
          <w:color w:val="auto"/>
        </w:rPr>
        <w:t>Autodesk Industry Collections are a combination of products and services that target a specific user objective and support a set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workflows for that objective. Our Industry Collections consist of: Autodesk Architecture, Engineering and Construction Collection, Autodesk Product Design</w:t>
      </w:r>
    </w:p>
    <w:p>
      <w:pPr>
        <w:spacing w:after="0" w:line="32" w:lineRule="exact"/>
        <w:rPr>
          <w:sz w:val="20"/>
          <w:szCs w:val="20"/>
          <w:color w:val="auto"/>
        </w:rPr>
      </w:pPr>
    </w:p>
    <w:p>
      <w:pPr>
        <w:ind w:right="100" w:firstLine="8"/>
        <w:spacing w:after="0" w:line="261" w:lineRule="auto"/>
        <w:tabs>
          <w:tab w:leader="none" w:pos="1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Collection, and Autodesk Media and Entertainment Collection. We introduced Industry Collections effective August 1, 2016 to replace our suites.</w:t>
      </w:r>
    </w:p>
    <w:p>
      <w:pPr>
        <w:spacing w:after="0" w:line="18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Maintenance Plan: </w:t>
      </w:r>
      <w:r>
        <w:rPr>
          <w:rFonts w:ascii="Arial" w:cs="Arial" w:eastAsia="Arial" w:hAnsi="Arial"/>
          <w:sz w:val="16"/>
          <w:szCs w:val="16"/>
          <w:color w:val="auto"/>
        </w:rPr>
        <w:t>Our maintenance plans provide our customers with a cost effective and predictable budgetary option to obtain the productivity benefits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Net Revenue Retention Rate (NR3): </w:t>
      </w:r>
      <w:r>
        <w:rPr>
          <w:rFonts w:ascii="Arial" w:cs="Arial" w:eastAsia="Arial" w:hAnsi="Arial"/>
          <w:sz w:val="17"/>
          <w:szCs w:val="17"/>
          <w:color w:val="auto"/>
        </w:rPr>
        <w:t>Measures the year-over-year change in ARR for the population of customers that existed one year ago (“base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Net revenue retention rate is calculated by dividing the current period ARR related to base customers by the total ARR from one year ago. ARR is based on USD reported revenue, and fluctuations caused by changes in foreign currency exchange rates and hedge gains or losses have not been eliminated. ARR related to acquired companies is excluded from the calculation for at least one year from integration.</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Other Revenue: </w:t>
      </w:r>
      <w:r>
        <w:rPr>
          <w:rFonts w:ascii="Arial" w:cs="Arial" w:eastAsia="Arial" w:hAnsi="Arial"/>
          <w:sz w:val="16"/>
          <w:szCs w:val="16"/>
          <w:color w:val="auto"/>
        </w:rPr>
        <w:t>Consists of revenue from consulting, training and other services, and is recognized over time as the services are performed. Other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also includes software license revenue from the sale of products that do not incorporate substantial cloud services and is recognized up front.</w:t>
      </w:r>
    </w:p>
    <w:p>
      <w:pPr>
        <w:spacing w:after="0" w:line="12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 xml:space="preserve">Product Subscription: </w:t>
      </w:r>
      <w:r>
        <w:rPr>
          <w:rFonts w:ascii="Arial" w:cs="Arial" w:eastAsia="Arial" w:hAnsi="Arial"/>
          <w:sz w:val="18"/>
          <w:szCs w:val="18"/>
          <w:color w:val="auto"/>
        </w:rPr>
        <w:t>Provides customers the most flexible, cost-effective way to access and manage 3D design, engineering, and entertainment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tools. Our product subscriptions currently represent a hybrid of desktop and SaaS functionality, which provides a device-independent, collaborative design workflow for designers and their stakeholders.</w:t>
      </w:r>
    </w:p>
    <w:p>
      <w:pPr>
        <w:spacing w:after="0" w:line="18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 xml:space="preserve">Recurring Revenue: </w:t>
      </w:r>
      <w:r>
        <w:rPr>
          <w:rFonts w:ascii="Arial" w:cs="Arial" w:eastAsia="Arial" w:hAnsi="Arial"/>
          <w:sz w:val="18"/>
          <w:szCs w:val="18"/>
          <w:color w:val="auto"/>
        </w:rPr>
        <w:t>Consists of the revenue for the period from our traditional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education offerings, and third party products. Recurring revenue acquired with the acquisition of a business is captured when total subscriptions are captured in our systems and may cause variability in the comparison of this calculation.</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Remaining Performance Obligations: </w:t>
      </w:r>
      <w:r>
        <w:rPr>
          <w:rFonts w:ascii="Arial" w:cs="Arial" w:eastAsia="Arial" w:hAnsi="Arial"/>
          <w:sz w:val="18"/>
          <w:szCs w:val="18"/>
          <w:color w:val="auto"/>
        </w:rPr>
        <w:t>The sum of total short-term, long-term, and unbilled deferred revenue. Current remaining performance obligations is</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revenue we expect to recognize in the next twelve months.</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i w:val="1"/>
          <w:iCs w:val="1"/>
          <w:color w:val="auto"/>
        </w:rPr>
        <w:t xml:space="preserve">Subscription Plan: </w:t>
      </w:r>
      <w:r>
        <w:rPr>
          <w:rFonts w:ascii="Arial" w:cs="Arial" w:eastAsia="Arial" w:hAnsi="Arial"/>
          <w:sz w:val="17"/>
          <w:szCs w:val="17"/>
          <w:color w:val="auto"/>
        </w:rPr>
        <w:t>Comprises our term-based product subscriptions, cloud service offerings, and EBAs. Subscriptions represent a combined hybrid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Includes subscription fees from product subscriptions, cloud service offerings, and EBAs.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Unbilled Deferred Revenue: </w:t>
      </w:r>
      <w:r>
        <w:rPr>
          <w:rFonts w:ascii="Arial" w:cs="Arial" w:eastAsia="Arial" w:hAnsi="Arial"/>
          <w:sz w:val="16"/>
          <w:szCs w:val="16"/>
          <w:color w:val="auto"/>
        </w:rPr>
        <w:t>Unbilled deferred revenue represents contractually stated or committed orders under early renewal and multi-year billing plans</w:t>
      </w:r>
      <w:r>
        <w:rPr>
          <w:rFonts w:ascii="Arial" w:cs="Arial" w:eastAsia="Arial" w:hAnsi="Arial"/>
          <w:sz w:val="16"/>
          <w:szCs w:val="16"/>
          <w:i w:val="1"/>
          <w:iCs w:val="1"/>
          <w:color w:val="auto"/>
        </w:rPr>
        <w:t xml:space="preserve"> </w:t>
      </w:r>
      <w:r>
        <w:rPr>
          <w:rFonts w:ascii="Arial" w:cs="Arial" w:eastAsia="Arial" w:hAnsi="Arial"/>
          <w:sz w:val="16"/>
          <w:szCs w:val="16"/>
          <w:color w:val="auto"/>
        </w:rPr>
        <w:t>for 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2019, and January 31, 2019, we had open cash flow and balance sheet hedge contracts with future settlements generally within one to twelve months. Contracts were primarily denominated in euros, Japanese yen, British pounds, Canadian dollars, Australian dollars, Singapore dollars, Swiss francs, Swedish krona, and Czech koruna. We do not enter into foreign exchange derivative instruments for trading or speculative purposes. The notional amount of our option and forward contracts was $1.36 billion and $1.38 billion at July 31, 2019, and January 31, 2019, respectively.</w:t>
      </w:r>
    </w:p>
    <w:p>
      <w:pPr>
        <w:spacing w:after="0" w:line="16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July 31, 2019, indicated that a hypothetical 10% appreciation of the U.S. dollar from its value at July 31, 2019, and January 31, 2019, would increase the fair value of our foreign currency contracts by $124.4 million and $123.4 million, respectively. A hypothetical 10% depreciation of the dollar from its value at July 31, 2019, and January 31, 2019, would decrease the fair value of our foreign currency contracts by $71.6 million and $98.3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Interest rate movements affect both the interest income we earn on our short-term investments and the market value of certain longer-term securities. At July 31, 2019, we had $476.3 million of cash equivalents and marketable securities, including $67.4 million classified as short-term marketable securities. If interest rates were to move up or down by 50 or 100 basis points over a twelve-month period, the market value change of our marketable securities would not have a material impact on our results of operations.</w:t>
      </w:r>
    </w:p>
    <w:p>
      <w:pPr>
        <w:spacing w:after="0" w:line="18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December 2018, we entered into a $500.0 million term loan facility, of which $250.0 million was outstanding as of July 31, 2019. The term loan bears interest, at Autodesk's option, at either (i) a floating rate per annum equal to the base rate plus a margin between 0.000% and 0.625%, depending on Autodesk's Public Debt Rating or (ii) a per annum rate equal to the rate at which dollar deposits are offered in the London interbank market, plus a margin of between 0.875% and 1.625%, depending on Autodesk's Public Debt Rating. Based on Autodesk's current credit ratings the term loan bears interest at a per annum rate equal to the rate at which dollar deposits are offered in the London interbank market, plus a margin of 1.125% per annum. A hypothetical increase or decrease of 50 or 100 basis points over a twelve-month period would not have a material impact on our results of operations. The term loan facility matures in December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5, "Financial Instruments," for further discussion regarding our privately held investments.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2" w:name="page53"/>
    <w:bookmarkEnd w:id="52"/>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8"/>
        <w:spacing w:after="0" w:line="252" w:lineRule="auto"/>
        <w:tabs>
          <w:tab w:leader="none" w:pos="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9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Exchange Act) during the quarter ended July 31, 2019, that have materially affected, or are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580" w:right="2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impact our industries, business and financial results.</w:t>
      </w:r>
    </w:p>
    <w:p>
      <w:pPr>
        <w:spacing w:after="0" w:line="225" w:lineRule="exact"/>
        <w:rPr>
          <w:sz w:val="20"/>
          <w:szCs w:val="20"/>
          <w:color w:val="auto"/>
        </w:rPr>
      </w:pPr>
    </w:p>
    <w:p>
      <w:pPr>
        <w:ind w:right="240" w:firstLine="392"/>
        <w:spacing w:after="0" w:line="291" w:lineRule="auto"/>
        <w:rPr>
          <w:sz w:val="20"/>
          <w:szCs w:val="20"/>
          <w:color w:val="auto"/>
        </w:rPr>
      </w:pPr>
      <w:r>
        <w:rPr>
          <w:rFonts w:ascii="Arial" w:cs="Arial" w:eastAsia="Arial" w:hAnsi="Arial"/>
          <w:sz w:val="16"/>
          <w:szCs w:val="16"/>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167"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As described elsewhere in this Risk Factors section, we are dependent on international revenue and operations and are subject to related risks of conducting business globally. Geopolitical trends toward nationalism and protectionism and the weakening or dissolution of international trade pacts may 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158" w:lineRule="exact"/>
        <w:rPr>
          <w:sz w:val="20"/>
          <w:szCs w:val="20"/>
          <w:color w:val="auto"/>
        </w:rPr>
      </w:pPr>
    </w:p>
    <w:p>
      <w:pPr>
        <w:ind w:right="20" w:firstLine="392"/>
        <w:spacing w:after="0" w:line="286" w:lineRule="auto"/>
        <w:rPr>
          <w:sz w:val="20"/>
          <w:szCs w:val="20"/>
          <w:color w:val="auto"/>
        </w:rPr>
      </w:pPr>
      <w:r>
        <w:rPr>
          <w:rFonts w:ascii="Arial" w:cs="Arial" w:eastAsia="Arial" w:hAnsi="Arial"/>
          <w:sz w:val="17"/>
          <w:szCs w:val="17"/>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more than 30 years ago, the software industry has undergone a transition from developing and selling perpetual licenses and on-premises products to cloud, mobile and social applications. Customers are also reconsidering the manner in which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4" w:name="page55"/>
    <w:bookmarkEnd w:id="54"/>
    <w:p>
      <w:pPr>
        <w:ind w:right="100"/>
        <w:spacing w:after="0" w:line="273" w:lineRule="auto"/>
        <w:rPr>
          <w:sz w:val="20"/>
          <w:szCs w:val="20"/>
          <w:color w:val="auto"/>
        </w:rPr>
      </w:pPr>
      <w:r>
        <w:rPr>
          <w:rFonts w:ascii="Arial" w:cs="Arial" w:eastAsia="Arial" w:hAnsi="Arial"/>
          <w:sz w:val="17"/>
          <w:szCs w:val="17"/>
          <w:color w:val="auto"/>
        </w:rPr>
        <w:t>technical and financial resources such as our introduction of flexible subscription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17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other offerings and cloud-based functionality. We want customers using individual Autodesk products to expand their portfolio with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17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business could suffer as a result of costs, charges and risks, including integration risks associated with strategic acquisitions and investments such as the fiscal 2019 acquisitions of Assemble Systems, PlanGrid and BuildingConnected.</w:t>
      </w:r>
    </w:p>
    <w:p>
      <w:pPr>
        <w:spacing w:after="0" w:line="170"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We regularly acquire or invest in businesses, software solutions and technologies that are complementary to our business through acquisitions, strategic alliances or equity or debt investments. For example, in fiscal 2019, we acquired Assemble Systems, PlanGrid and BuildingConnected. The risks associated with such acquisitions include, among others, the difficulty of assimilating solutions,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solution does not identify significant problems;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additional exposure to fluctuations in currency exchange rates; and</w:t>
      </w:r>
    </w:p>
    <w:p>
      <w:pPr>
        <w:spacing w:after="0" w:line="225" w:lineRule="exact"/>
        <w:rPr>
          <w:rFonts w:ascii="Arial" w:cs="Arial" w:eastAsia="Arial" w:hAnsi="Arial"/>
          <w:sz w:val="18"/>
          <w:szCs w:val="18"/>
          <w:color w:val="auto"/>
        </w:rPr>
      </w:pPr>
    </w:p>
    <w:p>
      <w:pPr>
        <w:ind w:left="5620" w:right="40" w:hanging="5288"/>
        <w:spacing w:after="0" w:line="559"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impact on relationships with existing customers, vendors, and distributors as business partners as a result of acquiring another business. 55</w:t>
      </w:r>
    </w:p>
    <w:p>
      <w:pPr>
        <w:sectPr>
          <w:pgSz w:w="11900" w:h="16838" w:orient="portrait"/>
          <w:cols w:equalWidth="0" w:num="1">
            <w:col w:w="11380"/>
          </w:cols>
          <w:pgMar w:left="240" w:top="584" w:right="279" w:bottom="1440" w:gutter="0" w:footer="0" w:header="0"/>
        </w:sectPr>
      </w:pPr>
    </w:p>
    <w:bookmarkStart w:id="55" w:name="page56"/>
    <w:bookmarkEnd w:id="55"/>
    <w:p>
      <w:pPr>
        <w:ind w:right="8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jc w:val="both"/>
        <w:ind w:right="100" w:firstLine="432"/>
        <w:spacing w:after="0" w:line="288" w:lineRule="auto"/>
        <w:rPr>
          <w:sz w:val="20"/>
          <w:szCs w:val="20"/>
          <w:color w:val="auto"/>
        </w:rPr>
      </w:pPr>
      <w:r>
        <w:rPr>
          <w:rFonts w:ascii="Arial" w:cs="Arial" w:eastAsia="Arial" w:hAnsi="Arial"/>
          <w:sz w:val="16"/>
          <w:szCs w:val="16"/>
          <w:color w:val="auto"/>
        </w:rPr>
        <w:t>We are dependent on our international operations for a significant portion of our revenue. International net revenue represented 66% of our net revenue for both the six months ended July 31, 2019 and 2018, respectively. Our international revenue, including that from emerging economies, is subject to general economic and political conditions in foreign markets, including conditions in foreign markets resulting from economic and political conditions in the U.S.</w:t>
      </w:r>
    </w:p>
    <w:p>
      <w:pPr>
        <w:spacing w:after="0" w:line="277" w:lineRule="auto"/>
        <w:rPr>
          <w:sz w:val="20"/>
          <w:szCs w:val="20"/>
          <w:color w:val="auto"/>
        </w:rPr>
      </w:pPr>
      <w:r>
        <w:rPr>
          <w:rFonts w:ascii="Arial" w:cs="Arial" w:eastAsia="Arial" w:hAnsi="Arial"/>
          <w:sz w:val="17"/>
          <w:szCs w:val="17"/>
          <w:color w:val="auto"/>
        </w:rPr>
        <w:t>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w:t>
      </w:r>
    </w:p>
    <w:p>
      <w:pPr>
        <w:spacing w:after="0" w:line="173"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fluctuating currency exchange rates, including devaluations, currency controls and inflation, and risks related to any hedging activities we undertake;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various, sometimes conflicting, and 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and foreign tax law changes impacting how multinational companies are taxed;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00" w:right="239" w:bottom="1440" w:gutter="0" w:footer="0" w:header="0"/>
        </w:sectPr>
      </w:pPr>
    </w:p>
    <w:bookmarkStart w:id="56" w:name="page57"/>
    <w:bookmarkEnd w:id="56"/>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420" w:right="2940" w:hanging="88"/>
        <w:spacing w:after="0" w:line="563" w:lineRule="auto"/>
        <w:tabs>
          <w:tab w:leader="none" w:pos="66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factors beyond our control, including popular uprisings, terrorism, war, natural disasters, and diseases. Some of our business partners also have international operations and are subject to the risks described above.</w:t>
      </w:r>
    </w:p>
    <w:p>
      <w:pPr>
        <w:spacing w:after="0" w:line="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"Brexit" vote has exacerbated and may further exacerbate many of the risks and uncertainties described above. The withdrawal of the United Kingdom from the European Union could, among other potential outcomes, adversely affect the tax,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Although the withdrawal of the United Kingdom from the European Union was scheduled to take effect on March 29, 2019, the withdrawal agreement was subsequently extended until April 12, 2019, and further extended until October 31, 2019. Under the United Kingdom's new premiership, there is significant risk that the United Kingdom will exit from the European Union without agreement between the European Union and United Kingdom on terms addressing customs and trade matters. Further, uncertainty around these and related issues could lead to adverse effects on the economy of the United Kingdom, European Union and the other economies in which we operate.</w:t>
      </w:r>
    </w:p>
    <w:p>
      <w:pPr>
        <w:spacing w:after="0" w:line="182"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In addition, the current U.S. administration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New or increased tariffs and other changes in U.S. trade policy have triggered and could trigger additional retaliatory actions by affected countries, and certain foreign governments, including the Chinese government, have instituted or are considering imposing trade sanctions on certain U.S. manufactured goods. The escalation of protectionist or retaliatory trade measures in either the United States or any other countries in which we do business, such as a change in tariff structures, export compliance or other trade policies, may increase the cost of, or otherwise interfere with, conducting our business.</w:t>
      </w:r>
    </w:p>
    <w:p>
      <w:pPr>
        <w:spacing w:after="0" w:line="17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Security incidents may compromise the integrity of our or our customers’ offerings, services, data or intellectual property, harm our reputation, damage our competitiveness, create additional liability and adversely impact our financial results.</w:t>
      </w:r>
    </w:p>
    <w:p>
      <w:pPr>
        <w:spacing w:after="0" w:line="13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we digitize Autodesk and use cloud and web-based technologies to leverage customer data to deliver the total customer experience, we are exposed to increased security risks and the potential for unauthorized access to, or improper use of, our and our customers' information. Like other software offerings and systems, ours are vulnerable to security incidents. We devote resources to maintain the security and integrity of our systems, offerings, services and applications (online, mobile and desktop). We accomplish this by enhancing security features, conducting penetration tests, code hardening, releasing security vulnerability updates and accelerating our incident response time. Despite these efforts, we may not prevent security incidents, and we may face delays or other difficulties in identifying or responding to security incidents.</w:t>
      </w:r>
    </w:p>
    <w:p>
      <w:pPr>
        <w:spacing w:after="0" w:line="138"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Hackers regularly have targeted our systems, offerings, services and applications, and we expect them to do so in the future. Security incidents could disrupt the proper functioning of our systems, solutions or services; cause errors in the output of our customers' work; allow unauthorized access to sensitive data or intellectual property, including proprietary or confidential information of ours or our customers; or cause other destructive outcomes.</w:t>
      </w:r>
    </w:p>
    <w:p>
      <w:pPr>
        <w:spacing w:after="0" w:line="10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malicious file uploads, backdoor trojans and distributed denial of service (DDoS) attacks. In addition, third parties may attempt to fraudulently induce our employees, vendors, partners or users to disclose information to gain access to our data or our users’ data and there is the risk of employee, contractor, or vendor error or</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800"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malfeasance. Despite efforts to create security barriers to such threats, it is virtually impossible for us to entirely eliminate these risks.</w:t>
      </w:r>
    </w:p>
    <w:p>
      <w:pPr>
        <w:spacing w:after="0" w:line="185"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If any of the foregoing security incidents were to occur or to be perceived to have occurred, our reputation may suffer, our competitive position may be diminished, customers may stop paying for our solutions and services, we could be required to expend significant capital and other resources to evaluate and alleviate the security incident and in an effort to prevent further or additional incidents, and we could face regulatory inquiry, lawsuits and potential liability.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breach, and our financial performance could be negatively impacted.</w:t>
      </w:r>
    </w:p>
    <w:p>
      <w:pPr>
        <w:spacing w:after="0" w:line="138"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 cannot assure you that any limitations of liability provisions in our contracts would be enforceable or adequate or would otherwise protect us from any liabilities or damages with respect to any particular claim relating to a security breach or other security incident. We also cannot be sure that our existing insurance coverage will continue to be available on acceptable terms or will be available in sufficient amounts to cover one or more large claims related to a security breach,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and expanding laws may impact our business or expose us to increased liability.</w:t>
      </w:r>
    </w:p>
    <w:p>
      <w:pPr>
        <w:spacing w:after="0" w:line="225"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Federal, state and foreign government privacy and data security laws apply to the treatment of personal data. Governments, regulators, the plaintiffs’ bar, privacy advocates and customers have increased their focus on how companies collect, process, use, store, share and transmit personal data.</w:t>
      </w:r>
    </w:p>
    <w:p>
      <w:pPr>
        <w:spacing w:after="0" w:line="11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General Data Protection Regulation ("GDPR") is applicable in all EU member states The GDPR introduced new data protection requirements in the EU and substantial fines for non-compliance. We have modified our privacy practices to comply with GDPR. We have self-certified under the EU-U.S. Privacy Shield program and also make use of model contractual clauses approved by the EU commission in relation to the transfer of personal data from the EU to the United States, The Privacy Shield and the EU Commission’s model contractual clauses are currently the subject of legal challenges in the EU, however, and it is unclear whether these will serve as appropriate means for us to transfer personal data from the EU to the United States. We have also self-certified to the Swiss-U.S. Privacy Shield program in relation to the transfer of personal data from Switzerland to the United States. This Privacy Shield program also may no longer be valid due to possible legal challenge. Additionally, in June 2016, the United Kingdom voted to leave the European Union, commonly referred to as "Brexit," which could also lead to further legislative and regulatory changes with regard to personal data. The United Kingdom Data Protection Act that substantially implements the GDPR became law in May 2018. It remains unclear, however, how United Kingdom data protection laws or regulations will develop in the medium to longer term and how data transfers to and from the United Kingdom will be regulated at the time, if any, that Brexit is effectuated.</w:t>
      </w:r>
    </w:p>
    <w:p>
      <w:pPr>
        <w:spacing w:after="0" w:line="14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addition, in June 2018, California enacted the California Consumer Privacy Act (the "CCPA"), which takes effect in January 2020. The CCPA will, among other things, give California residents expanded rights to access and delete their personal information, opt out of certain personal information sharing, and receive detailed information about how their personal information is used. The CCPA was amended in September 2018, and further modifications may be made to this law before it takes effect. Regulations implementing the law are also under development. We cannot yet predict the impact of the CCPA on our business or operations, but it may require us to modify our data processing practices and policies and to incur substantial costs and expenses in an effort to comply.</w:t>
      </w:r>
    </w:p>
    <w:p>
      <w:pPr>
        <w:spacing w:after="0" w:line="15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GDPR, CCPA and other state and global laws and regulations increased our responsibility and potential liability in relation to personal data, and we have and will continue to put in place additional processes and programs to demonstrate compliance. Any actual or perceived failure to comply with the GDPR, other data privacy laws or regulations, or related contractual or other obligations, or any perceived privacy rights violation, could lead to investigations, claims, and proceedings by governmental entities and private parties, damages for contract breach, and other significant costs, penalties, and other liabilities, as well as harm to our reputation and market position.</w:t>
      </w:r>
    </w:p>
    <w:p>
      <w:pPr>
        <w:spacing w:after="0" w:line="148"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Additionally, we store customer information and content and if our customers fail to comply with contractual obligations or applicable laws, it could result in litigation or reputational harm to us. The GDPR, CCPA other laws and self-regulatory codes may affect our ability to reach current and prospective customers, to understand how our offerings and services are being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8" w:name="page59"/>
    <w:bookmarkEnd w:id="58"/>
    <w:p>
      <w:pPr>
        <w:ind w:right="100"/>
        <w:spacing w:after="0" w:line="286" w:lineRule="auto"/>
        <w:rPr>
          <w:sz w:val="20"/>
          <w:szCs w:val="20"/>
          <w:color w:val="auto"/>
        </w:rPr>
      </w:pPr>
      <w:r>
        <w:rPr>
          <w:rFonts w:ascii="Arial" w:cs="Arial" w:eastAsia="Arial" w:hAnsi="Arial"/>
          <w:sz w:val="17"/>
          <w:szCs w:val="17"/>
          <w:color w:val="auto"/>
        </w:rPr>
        <w:t>used, to respond to customer requests allowed under the laws, and to implement our new business models effectively. These new laws and regulations would similarly affect our competitors as well as our customers and may cause some customers to stop using, or not to use, our offerings and services. These requirements could impact demand for our offerings and services and result in more onerous contract obligations.</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rely on third parties to provide us with a number of operational and technical services; third-party security incidents could expose us to liability, harm our reputation, damage our competitiveness and adversely impact our financial performance.</w:t>
      </w:r>
    </w:p>
    <w:p>
      <w:pPr>
        <w:spacing w:after="0" w:line="17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Any third-party security incident could compromise the integrity of, or availability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and potential liability, and our financial performance could be negatively impacted.</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Delays in service from third-party service providers could expose us to liability, harm our reputation, damage our competitiveness and adversely impact our financial performance.</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From time to time, we may rely on a single or limited number of suppliers, or upon suppliers in a single country, for the provision of various services and materials that we use in the operation of our business and production of our solutions. The inability of such third parties to satisfy our requirements could disrupt our business operations or make it more difficult for us to implement our business strategy. If any of these situations were to occur, our reputation could be harmed, we could be subject to third-party liability, including under data protection and privacy laws in certain jurisdictions, and our financial performance could be negatively impacted.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100" w:firstLine="392"/>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17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81" w:lineRule="exact"/>
        <w:rPr>
          <w:sz w:val="20"/>
          <w:szCs w:val="20"/>
          <w:color w:val="auto"/>
        </w:rPr>
      </w:pPr>
    </w:p>
    <w:p>
      <w:pPr>
        <w:jc w:val="both"/>
        <w:ind w:right="40" w:firstLine="392"/>
        <w:spacing w:after="0" w:line="302" w:lineRule="auto"/>
        <w:rPr>
          <w:sz w:val="20"/>
          <w:szCs w:val="20"/>
          <w:color w:val="auto"/>
        </w:rPr>
      </w:pPr>
      <w:r>
        <w:rPr>
          <w:rFonts w:ascii="Arial" w:cs="Arial" w:eastAsia="Arial" w:hAnsi="Arial"/>
          <w:sz w:val="16"/>
          <w:szCs w:val="16"/>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in order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w:t>
      </w:r>
    </w:p>
    <w:p>
      <w:pPr>
        <w:spacing w:after="0" w:line="154" w:lineRule="exact"/>
        <w:rPr>
          <w:sz w:val="20"/>
          <w:szCs w:val="20"/>
          <w:color w:val="auto"/>
        </w:rPr>
      </w:pPr>
    </w:p>
    <w:p>
      <w:pPr>
        <w:ind w:right="40" w:firstLine="392"/>
        <w:spacing w:after="0" w:line="293" w:lineRule="auto"/>
        <w:rPr>
          <w:sz w:val="20"/>
          <w:szCs w:val="20"/>
          <w:color w:val="auto"/>
        </w:rPr>
      </w:pPr>
      <w:r>
        <w:rPr>
          <w:rFonts w:ascii="Arial" w:cs="Arial" w:eastAsia="Arial" w:hAnsi="Arial"/>
          <w:sz w:val="16"/>
          <w:szCs w:val="16"/>
          <w:color w:val="auto"/>
        </w:rPr>
        <w:t>For example, we are undergoing a multi-phase project to upgrade our enterprise resource planning (“ERP”) management system to enhance operating efficiencies and provide more effective management of our business operations. We are investing significant capital and human resources into this project. However, there is no assurance that the system upgrade will meet our current or future business needs or that it will operate as designed. The transition to the new ERP system will affect numerous systems necessary for our operation. If we fail to correctly implement one or more components of the ERP system, we may experience significant disruption to our operations including, among other things, temporary loss of data, errors in data, inability to accurately process or record transactions, security issues, failure of systems to communicate with each other and the inability to track or reconcile key data.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84" w:right="259" w:bottom="1440" w:gutter="0" w:footer="0" w:header="0"/>
        </w:sectPr>
      </w:pPr>
    </w:p>
    <w:bookmarkStart w:id="59" w:name="page60"/>
    <w:bookmarkEnd w:id="59"/>
    <w:p>
      <w:pPr>
        <w:ind w:right="20" w:firstLine="392"/>
        <w:spacing w:after="0" w:line="279" w:lineRule="auto"/>
        <w:rPr>
          <w:sz w:val="20"/>
          <w:szCs w:val="20"/>
          <w:color w:val="auto"/>
        </w:rPr>
      </w:pPr>
      <w:r>
        <w:rPr>
          <w:rFonts w:ascii="Arial" w:cs="Arial" w:eastAsia="Arial" w:hAnsi="Arial"/>
          <w:sz w:val="17"/>
          <w:szCs w:val="17"/>
          <w:color w:val="auto"/>
        </w:rPr>
        <w:t>Information technology system improvements are often complex, costly and time consuming. In addition, such improvements can be challenging to integrate with our existing technology systems, or may uncover problems with our existing technology systems. Unsuccessful implementation of hardware or software updates and improvements could result in disruption to our business operations, additional expense, loss of customers, loss of revenue, errors in our accounting and financial reporting or damage to our reputation, all of which could harm our business.</w:t>
      </w:r>
    </w:p>
    <w:p>
      <w:pPr>
        <w:spacing w:after="0" w:line="17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jc w:val="both"/>
        <w:ind w:right="80" w:firstLine="392"/>
        <w:spacing w:after="0" w:line="279" w:lineRule="auto"/>
        <w:rPr>
          <w:sz w:val="20"/>
          <w:szCs w:val="20"/>
          <w:color w:val="auto"/>
        </w:rPr>
      </w:pPr>
      <w:r>
        <w:rPr>
          <w:rFonts w:ascii="Arial" w:cs="Arial" w:eastAsia="Arial" w:hAnsi="Arial"/>
          <w:sz w:val="17"/>
          <w:szCs w:val="17"/>
          <w:color w:val="auto"/>
        </w:rPr>
        <w:t>The software solutions that we offer are complex and, despite extensive testing and quality control, may contain errors, defects or vulnerabilities. Some errors, defects and vulnerabilities in our software solutions may only be discovered after they have been released. Any errors, defects or vulnerabilities could result in the need for corrective releases to our software solutions, damage to our reputation, loss of revenue, an increase in subscription cancellations or lack of market acceptance of our offerings, any of which would likely harm our business and financial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40" w:firstLine="392"/>
        <w:spacing w:after="0" w:line="270" w:lineRule="auto"/>
        <w:rPr>
          <w:sz w:val="20"/>
          <w:szCs w:val="20"/>
          <w:color w:val="auto"/>
        </w:rPr>
      </w:pPr>
      <w:r>
        <w:rPr>
          <w:rFonts w:ascii="Arial" w:cs="Arial" w:eastAsia="Arial" w:hAnsi="Arial"/>
          <w:sz w:val="17"/>
          <w:szCs w:val="17"/>
          <w:color w:val="auto"/>
        </w:rPr>
        <w:t>The software industry has limited barriers to entry, and the availability of computing devices with continually expanding performance at progressively lower prices contributes to the ease of market entry. The software industry has undergone a transition from developing and selling perpetual licenses and on-premises products to cloud, mobile and social applications.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offerings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delivery of certain solutions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U.S. sanctions or export control laws can result in fines or penalties.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Because we conduct a substantial portion of our business outside the U.S., we face exposure to adverse movements in foreign currency exchange rates. These exposures may change over time as business practices evolve and economic conditions change. Our exposure to adverse movements in foreign currency exchange rates could have a material adverse impact on our financial results and cash flows.</w:t>
      </w:r>
    </w:p>
    <w:p>
      <w:pPr>
        <w:spacing w:after="0" w:line="18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584" w:right="279" w:bottom="1440" w:gutter="0" w:footer="0" w:header="0"/>
        </w:sectPr>
      </w:pPr>
    </w:p>
    <w:bookmarkStart w:id="60" w:name="page61"/>
    <w:bookmarkEnd w:id="60"/>
    <w:p>
      <w:pPr>
        <w:ind w:right="200" w:firstLine="405"/>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addition, Brexit may contribute to volatility in foreign exchange markets with respect to the British Pound and Euro,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our ability to generate revenue will be adversely affected. If our distribution channel suffers financial losses, becomes financially unstable or insolvent, or is not provided the right mix of incentives to sell our subscriptions, our ability to generate revenue will be adversely affected.</w:t>
      </w:r>
    </w:p>
    <w:p>
      <w:pPr>
        <w:spacing w:after="0" w:line="18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sell our software products both directly to end users and through a network of distributors and resellers. For the six months ended July 31, 2019 and 2018, approximately 70% and 72%,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160" w:firstLine="432"/>
        <w:spacing w:after="0" w:line="290"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the distributors Tech Data and Ingram Micro. Tech Data accounted for 35% of our total net revenue for both the six months ended July 31, 2019 and 2018, and Ingram Micro accounted for 10% and 11% of our total net revenue for the six months ended July 31, 2019 and 2018, respectively. Should any of our agreements with Tech Data and Ingram Micro be terminated for any reason,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Tech Data and Ingram Micro. However, if either distributor were to experience a significant disruption with its business, or if our relationship with either of them were to significantly deteriorate, it is possible that our ability to sell to resellers and end users would be, at least temporarily, negatively impacted. This could in turn negatively impact our financial results.</w:t>
      </w:r>
    </w:p>
    <w:p>
      <w:pPr>
        <w:spacing w:after="0" w:line="166"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may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7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II, Item 1A, some of the factors that could cause our financial results, key metrics and other operating metrics to fluctuate include: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00" w:right="239" w:bottom="1440" w:gutter="0" w:footer="0" w:header="0"/>
        </w:sectPr>
      </w:pPr>
    </w:p>
    <w:bookmarkStart w:id="61" w:name="page62"/>
    <w:bookmarkEnd w:id="61"/>
    <w:p>
      <w:pPr>
        <w:ind w:left="328" w:hanging="328"/>
        <w:spacing w:after="0"/>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produce sufficient revenue, ARR, billings, subscription, profitability and cash flow growth;</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security breaches, related reputational harm, and potential financial penalties to customers and government entities;</w:t>
      </w:r>
    </w:p>
    <w:p>
      <w:pPr>
        <w:spacing w:after="0" w:line="225" w:lineRule="exact"/>
        <w:rPr>
          <w:rFonts w:ascii="Arial" w:cs="Arial" w:eastAsia="Arial" w:hAnsi="Arial"/>
          <w:sz w:val="18"/>
          <w:szCs w:val="18"/>
          <w:color w:val="auto"/>
        </w:rPr>
      </w:pPr>
    </w:p>
    <w:p>
      <w:pPr>
        <w:ind w:left="328" w:right="32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manage spend;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subscription mix, pricing pressure or changes in subscription pricing;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additional investments in our technologies or deployment of our services;</w:t>
      </w:r>
    </w:p>
    <w:p>
      <w:pPr>
        <w:spacing w:after="0" w:line="225" w:lineRule="exact"/>
        <w:rPr>
          <w:rFonts w:ascii="Arial" w:cs="Arial" w:eastAsia="Arial" w:hAnsi="Arial"/>
          <w:sz w:val="18"/>
          <w:szCs w:val="18"/>
          <w:color w:val="auto"/>
        </w:rPr>
      </w:pPr>
    </w:p>
    <w:p>
      <w:pPr>
        <w:ind w:left="328" w:right="24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Securities Exchange Commission or other rule-making bodies;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328" w:right="6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subscriptions;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cloud functionality-related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releases and retirements of offerings;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tax laws, regulations or tax accounting rules, such as increased use of fair value measures;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effectively implement and maintain our copyright legalization programs, especially in developing countries;</w:t>
      </w:r>
    </w:p>
    <w:p>
      <w:pPr>
        <w:spacing w:after="0" w:line="252" w:lineRule="exact"/>
        <w:rPr>
          <w:sz w:val="20"/>
          <w:szCs w:val="20"/>
          <w:color w:val="auto"/>
        </w:rPr>
      </w:pPr>
    </w:p>
    <w:p>
      <w:pPr>
        <w:jc w:val="center"/>
        <w:ind w:right="172"/>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48"/>
          </w:cols>
          <w:pgMar w:left="572" w:top="584" w:right="379" w:bottom="1440" w:gutter="0" w:footer="0" w:header="0"/>
        </w:sectPr>
      </w:pPr>
    </w:p>
    <w:bookmarkStart w:id="62" w:name="page63"/>
    <w:bookmarkEnd w:id="62"/>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25" w:lineRule="exact"/>
        <w:rPr>
          <w:sz w:val="20"/>
          <w:szCs w:val="20"/>
          <w:color w:val="auto"/>
        </w:rPr>
      </w:pPr>
    </w:p>
    <w:p>
      <w:pPr>
        <w:ind w:right="28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1" w:lineRule="exact"/>
        <w:rPr>
          <w:sz w:val="20"/>
          <w:szCs w:val="20"/>
          <w:color w:val="auto"/>
        </w:rPr>
      </w:pPr>
    </w:p>
    <w:p>
      <w:pPr>
        <w:ind w:right="20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solutions, including our AutoCAD-based software products and collections, if these offerings are not successful, our revenue will be adversely affected.</w:t>
      </w:r>
    </w:p>
    <w:p>
      <w:pPr>
        <w:spacing w:after="0" w:line="17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subscriptions to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six months ended July 31, 2019 and 2018, combined revenue from our AutoCAD and AutoCAD LT products, not including collections having AutoCAD or AutoCAD LT as a component, represented 29% and 28% of our total net revenue,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service obligations may adversely affect our financial condition and cash flows from operations.</w:t>
      </w:r>
    </w:p>
    <w:p>
      <w:pPr>
        <w:spacing w:after="0" w:line="225" w:lineRule="exact"/>
        <w:rPr>
          <w:sz w:val="20"/>
          <w:szCs w:val="20"/>
          <w:color w:val="auto"/>
        </w:rPr>
      </w:pPr>
    </w:p>
    <w:p>
      <w:pPr>
        <w:ind w:firstLine="392"/>
        <w:spacing w:after="0" w:line="279" w:lineRule="auto"/>
        <w:rPr>
          <w:sz w:val="20"/>
          <w:szCs w:val="20"/>
          <w:color w:val="auto"/>
        </w:rPr>
      </w:pPr>
      <w:r>
        <w:rPr>
          <w:rFonts w:ascii="Arial" w:cs="Arial" w:eastAsia="Arial" w:hAnsi="Arial"/>
          <w:sz w:val="17"/>
          <w:szCs w:val="17"/>
          <w:color w:val="auto"/>
        </w:rPr>
        <w:t>We have $1.84 billion of debt, consisting of notes due at various times from June 2020 to June 2027 and a delayed draw term loan facility in the aggregate remaining principal amount of $250.0 million due in December 2020, each as described in Part I, Item 1. We also entered into a credit agreement that provides for an unsecured revolving loan facility in the aggregate principal amount of $650.0 million, with an option to be increased up to $1.0 billion, as described in Part I, Item 1. Maintenance of our indebtedness, contractual restrictions, and additional issuances of indebtedness could:</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cause us to dedicate a substantial portion of our cash flows from operations towards debt service obligations and principal repayments;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impair our ability to obtain future financing for working capital, capital expenditures, acquisitions, general corporate or other purposes; and</w:t>
      </w:r>
    </w:p>
    <w:p>
      <w:pPr>
        <w:spacing w:after="0" w:line="236" w:lineRule="exact"/>
        <w:rPr>
          <w:rFonts w:ascii="Arial" w:cs="Arial" w:eastAsia="Arial" w:hAnsi="Arial"/>
          <w:sz w:val="17"/>
          <w:szCs w:val="17"/>
          <w:color w:val="auto"/>
        </w:rPr>
      </w:pPr>
    </w:p>
    <w:p>
      <w:pPr>
        <w:ind w:left="660" w:right="10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800" w:right="279" w:bottom="1440" w:gutter="0" w:footer="0" w:header="0"/>
        </w:sectPr>
      </w:pPr>
    </w:p>
    <w:bookmarkStart w:id="63" w:name="page64"/>
    <w:bookmarkEnd w:id="63"/>
    <w:p>
      <w:pPr>
        <w:ind w:right="100" w:firstLine="405"/>
        <w:spacing w:after="0" w:line="255" w:lineRule="auto"/>
        <w:rPr>
          <w:sz w:val="20"/>
          <w:szCs w:val="20"/>
          <w:color w:val="auto"/>
        </w:rPr>
      </w:pPr>
      <w:r>
        <w:rPr>
          <w:rFonts w:ascii="Arial" w:cs="Arial" w:eastAsia="Arial" w:hAnsi="Arial"/>
          <w:sz w:val="18"/>
          <w:szCs w:val="18"/>
          <w:color w:val="auto"/>
        </w:rPr>
        <w:t>We are required to comply with the covenants set forth in our debt instruments, such as an interest coverage ratio in effect January 31, 2019, and a leverage ratio in effect July 31, 2019. If we breach any of the covenants and do not obtain a waiver from the note holders or lenders, then, subject to applicable cure periods, we would not be able to incur additional indebtedness under the credit agreement described in Part I, Item 1, and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or have obtained and used information that we regard as proprietary. Policing unauthorized use of our software is time-consuming and costly. We are unable to measure the extent to which piracy of our software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As more software patents are granted worldwide, the number of offerings and competitors in our industries grows. As the functionality of products in different industries overlaps, we expect that software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delays or require us to enter into royalty or licensing agreements. In addition, such royalty or license agreements, if required, may not be available on acceptable terms, if at all, which would likely harm our business.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Net revenue, ARR, billings, earnings, cash flow, net revenue retention rate, or subscriptions shortfalls or the volatility of the market generally may cause the market price of our stock to decline.</w:t>
      </w:r>
    </w:p>
    <w:p>
      <w:pPr>
        <w:spacing w:after="0" w:line="170"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00" w:right="239" w:bottom="1440" w:gutter="0" w:footer="0" w:header="0"/>
        </w:sectPr>
      </w:pPr>
    </w:p>
    <w:bookmarkStart w:id="64" w:name="page65"/>
    <w:bookmarkEnd w:id="64"/>
    <w:p>
      <w:pPr>
        <w:ind w:left="660" w:right="4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ARR, billings, earnings and cash flow or key performance metrics, such as net revenue retention rate or subscriptions, and how those results compare to securities analyst expectations, including whether those results fail to meet, exceed, or significantly exceed securities analyst expectations;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forward-looking estimates of future results, how those estimates compare to securities analyst expectations,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or changes in recommendations or confusion on the part of analysts and investors about the short-term and long-term impact to our business;</w:t>
      </w:r>
    </w:p>
    <w:p>
      <w:pPr>
        <w:spacing w:after="0" w:line="22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announcement of new offerings or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58"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00" w:right="239" w:bottom="1440" w:gutter="0" w:footer="0" w:header="0"/>
        </w:sectPr>
      </w:pPr>
    </w:p>
    <w:bookmarkStart w:id="65" w:name="page66"/>
    <w:bookmarkEnd w:id="65"/>
    <w:p>
      <w:pPr>
        <w:ind w:right="8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related to taxation in multiple jurisdictions.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Tax laws are dynamic and subject to change as new laws are passed and new interpretations of the law are issued or applied. For example, the U.S. government enacted significant tax law changes in December 2017, the Tax Act, which impacted our tax obligations and effective tax rate beginning in our fiscal 2018 tax year. Increasingly, governmental tax authorities are scrutinizing corporate tax strategies. Many countries in the European Union, as well as other countries and organizations such as the Organization for Economic Cooperation and Development, are actively considering changes to existing tax laws or the interpretation of such tax laws that, if adopted, could increase our tax obligations in many countries where we do business. If the U.S. or foreign tax authorities change applicable tax laws or successfully challenge the manner in which our profits are currently recognized, our overall taxes could increase, and our business, financial condition or results of operations may be adversely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Uncertainties in the interpretation and application of the Tax Act could materially affect our tax obligations and effective tax rate.</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Tax Act was enacted on December 22, 2017, and provided broad and significant changes to the U.S. tax code and how the U.S. imposes income tax on multinational corporations. Due to the complexity and varying interpretations of the Tax Act, the U.S. Department of Treasury has issued and will continue to issue regulations and interpretative guidance that could significantly impact how we will apply the law and the ultimate impact to our results of operations from the Tax Act.</w:t>
      </w:r>
    </w:p>
    <w:p>
      <w:pPr>
        <w:spacing w:after="0" w:line="187" w:lineRule="exact"/>
        <w:rPr>
          <w:sz w:val="20"/>
          <w:szCs w:val="20"/>
          <w:color w:val="auto"/>
        </w:rPr>
      </w:pPr>
    </w:p>
    <w:p>
      <w:pPr>
        <w:jc w:val="both"/>
        <w:ind w:right="400" w:firstLine="405"/>
        <w:spacing w:after="0" w:line="259" w:lineRule="auto"/>
        <w:rPr>
          <w:sz w:val="20"/>
          <w:szCs w:val="20"/>
          <w:color w:val="auto"/>
        </w:rPr>
      </w:pPr>
      <w:r>
        <w:rPr>
          <w:rFonts w:ascii="Arial" w:cs="Arial" w:eastAsia="Arial" w:hAnsi="Arial"/>
          <w:sz w:val="18"/>
          <w:szCs w:val="18"/>
          <w:color w:val="auto"/>
        </w:rPr>
        <w:t>The Tax Act requires complex computations to be performed that were not previously provided for in the U.S. tax law. These computations require significant judgments to be made regarding the interpretation of the provisions within the Tax Act and treasury regulations issued thereunder, along with preparation and analysis of information not previously required. As additional regulatory guidance is issued, we may make amendments to prior year tax returns.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0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4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Pursuant to Section 404 of the Sarbanes-Oxley Act of 2002,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condensed consolidated financial statements, which, if not accurate, may significantly impact our financial results.</w:t>
      </w:r>
    </w:p>
    <w:p>
      <w:pPr>
        <w:spacing w:after="0" w:line="17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make assumptions, judgments and estimates for a number of items, including revenue recognition for our hybrid desktop software and cloud service subscriptions,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584" w:right="259" w:bottom="1440" w:gutter="0" w:footer="0" w:header="0"/>
        </w:sectPr>
      </w:pPr>
    </w:p>
    <w:bookmarkStart w:id="67" w:name="page68"/>
    <w:bookmarkEnd w:id="67"/>
    <w:p>
      <w:pPr>
        <w:jc w:val="both"/>
        <w:ind w:right="14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solutions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right="20" w:firstLine="392"/>
        <w:spacing w:after="0" w:line="288" w:lineRule="auto"/>
        <w:rPr>
          <w:sz w:val="20"/>
          <w:szCs w:val="20"/>
          <w:color w:val="auto"/>
        </w:rPr>
      </w:pPr>
      <w:r>
        <w:rPr>
          <w:rFonts w:ascii="Arial" w:cs="Arial" w:eastAsia="Arial" w:hAnsi="Arial"/>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In fiscal 2016 and in fiscal 2018, we determined that it was more likely than not that we would not realize our U.S. and Singapore deferred tax assets and established a valuation allowance against the deferred tax assets in each respective jurisdiction. We continued to have a full valuation allowance against our U.S. and Singapore deferred tax assets in fiscal 2019.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July 31, 2019.</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800" w:right="239" w:bottom="1440" w:gutter="0" w:footer="0" w:header="0"/>
        </w:sectPr>
      </w:pPr>
    </w:p>
    <w:bookmarkStart w:id="68" w:name="page69"/>
    <w:bookmarkEnd w:id="68"/>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840" w:type="dxa"/>
            <w:vAlign w:val="bottom"/>
          </w:tcPr>
          <w:p>
            <w:pPr>
              <w:spacing w:after="0"/>
              <w:rPr>
                <w:sz w:val="17"/>
                <w:szCs w:val="17"/>
                <w:color w:val="auto"/>
              </w:rPr>
            </w:pPr>
          </w:p>
        </w:tc>
        <w:tc>
          <w:tcPr>
            <w:tcW w:w="7880" w:type="dxa"/>
            <w:vAlign w:val="bottom"/>
            <w:gridSpan w:val="4"/>
          </w:tcPr>
          <w:p>
            <w:pPr>
              <w:ind w:left="2820"/>
              <w:spacing w:after="0"/>
              <w:rPr>
                <w:sz w:val="20"/>
                <w:szCs w:val="20"/>
                <w:color w:val="auto"/>
              </w:rPr>
            </w:pPr>
            <w:r>
              <w:rPr>
                <w:rFonts w:ascii="Arial" w:cs="Arial" w:eastAsia="Arial" w:hAnsi="Arial"/>
                <w:sz w:val="16"/>
                <w:szCs w:val="16"/>
                <w:color w:val="auto"/>
              </w:rPr>
              <w:t>Description</w:t>
            </w:r>
          </w:p>
        </w:tc>
      </w:tr>
      <w:tr>
        <w:trPr>
          <w:trHeight w:val="574"/>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31.1</w:t>
            </w:r>
          </w:p>
        </w:tc>
        <w:tc>
          <w:tcPr>
            <w:tcW w:w="560" w:type="dxa"/>
            <w:vAlign w:val="bottom"/>
          </w:tcPr>
          <w:p>
            <w:pPr>
              <w:spacing w:after="0"/>
              <w:rPr>
                <w:sz w:val="24"/>
                <w:szCs w:val="24"/>
                <w:color w:val="auto"/>
              </w:rPr>
            </w:pPr>
          </w:p>
        </w:tc>
        <w:tc>
          <w:tcPr>
            <w:tcW w:w="9720" w:type="dxa"/>
            <w:vAlign w:val="bottom"/>
            <w:gridSpan w:val="5"/>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Certification of Chief Executive Officer pursuant to Rule 13a-14(a) of the Securities Exchange Act of 1934</w:t>
              </w:r>
            </w:hyperlink>
          </w:p>
        </w:tc>
      </w:tr>
      <w:tr>
        <w:trPr>
          <w:trHeight w:val="426"/>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560" w:type="dxa"/>
            <w:vAlign w:val="bottom"/>
          </w:tcPr>
          <w:p>
            <w:pPr>
              <w:spacing w:after="0"/>
              <w:rPr>
                <w:sz w:val="24"/>
                <w:szCs w:val="24"/>
                <w:color w:val="auto"/>
              </w:rPr>
            </w:pPr>
          </w:p>
        </w:tc>
        <w:tc>
          <w:tcPr>
            <w:tcW w:w="6940" w:type="dxa"/>
            <w:vAlign w:val="bottom"/>
            <w:tcBorders>
              <w:top w:val="single" w:sz="8" w:color="0000FF"/>
            </w:tcBorders>
            <w:gridSpan w:val="3"/>
          </w:tcPr>
          <w:p>
            <w:pPr>
              <w:spacing w:after="0"/>
              <w:rPr>
                <w:rFonts w:ascii="Arial" w:cs="Arial" w:eastAsia="Arial" w:hAnsi="Arial"/>
                <w:sz w:val="16"/>
                <w:szCs w:val="16"/>
                <w:color w:val="0000FF"/>
                <w:w w:val="93"/>
              </w:rPr>
            </w:pPr>
            <w:hyperlink w:anchor="page72">
              <w:r>
                <w:rPr>
                  <w:rFonts w:ascii="Arial" w:cs="Arial" w:eastAsia="Arial" w:hAnsi="Arial"/>
                  <w:sz w:val="16"/>
                  <w:szCs w:val="16"/>
                  <w:color w:val="0000FF"/>
                  <w:w w:val="93"/>
                </w:rPr>
                <w:t>Certification of Chief Financial Officer pursuant to Rule 13a-14(a) of the Securities Exchange Act of 1934</w:t>
              </w:r>
            </w:hyperlink>
          </w:p>
        </w:tc>
        <w:tc>
          <w:tcPr>
            <w:tcW w:w="2780" w:type="dxa"/>
            <w:vAlign w:val="bottom"/>
            <w:gridSpan w:val="2"/>
          </w:tcPr>
          <w:p>
            <w:pPr>
              <w:spacing w:after="0"/>
              <w:rPr>
                <w:sz w:val="24"/>
                <w:szCs w:val="24"/>
                <w:color w:val="auto"/>
              </w:rPr>
            </w:pPr>
          </w:p>
        </w:tc>
      </w:tr>
      <w:tr>
        <w:trPr>
          <w:trHeight w:val="20"/>
        </w:trPr>
        <w:tc>
          <w:tcPr>
            <w:tcW w:w="1260" w:type="dxa"/>
            <w:vAlign w:val="bottom"/>
            <w:gridSpan w:val="2"/>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Arial" w:cs="Arial" w:eastAsia="Arial" w:hAnsi="Arial"/>
                <w:sz w:val="16"/>
                <w:szCs w:val="16"/>
                <w:color w:val="auto"/>
              </w:rPr>
              <w:t>32.1 †</w:t>
            </w:r>
          </w:p>
        </w:tc>
        <w:tc>
          <w:tcPr>
            <w:tcW w:w="950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73">
              <w:r>
                <w:rPr>
                  <w:rFonts w:ascii="Arial" w:cs="Arial" w:eastAsia="Arial" w:hAnsi="Arial"/>
                  <w:sz w:val="16"/>
                  <w:szCs w:val="16"/>
                  <w:color w:val="0000FF"/>
                  <w:w w:val="92"/>
                </w:rPr>
                <w:t>Certification of Chief Executive Officer and Chief Financial Officer pursuant to 18 U.S.C. Section 1350, as adopted pursuant to Section 906 of the</w:t>
              </w:r>
            </w:hyperlink>
          </w:p>
        </w:tc>
        <w:tc>
          <w:tcPr>
            <w:tcW w:w="22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720" w:type="dxa"/>
            <w:vAlign w:val="bottom"/>
            <w:gridSpan w:val="5"/>
          </w:tcPr>
          <w:p>
            <w:pPr>
              <w:spacing w:after="0" w:line="183" w:lineRule="exact"/>
              <w:rPr>
                <w:rFonts w:ascii="Arial" w:cs="Arial" w:eastAsia="Arial" w:hAnsi="Arial"/>
                <w:sz w:val="16"/>
                <w:szCs w:val="16"/>
                <w:color w:val="0000FF"/>
              </w:rPr>
            </w:pPr>
            <w:hyperlink w:anchor="page73">
              <w:r>
                <w:rPr>
                  <w:rFonts w:ascii="Arial" w:cs="Arial" w:eastAsia="Arial" w:hAnsi="Arial"/>
                  <w:sz w:val="16"/>
                  <w:szCs w:val="16"/>
                  <w:color w:val="0000FF"/>
                </w:rPr>
                <w:t>Sarbanes-Oxley Act of 2002</w:t>
              </w:r>
            </w:hyperlink>
          </w:p>
        </w:tc>
      </w:tr>
      <w:tr>
        <w:trPr>
          <w:trHeight w:val="20"/>
        </w:trPr>
        <w:tc>
          <w:tcPr>
            <w:tcW w:w="1260" w:type="dxa"/>
            <w:vAlign w:val="bottom"/>
            <w:gridSpan w:val="2"/>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880" w:type="dxa"/>
            <w:vAlign w:val="bottom"/>
            <w:gridSpan w:val="4"/>
          </w:tcPr>
          <w:p>
            <w:pPr>
              <w:spacing w:after="0" w:line="20" w:lineRule="exact"/>
              <w:rPr>
                <w:sz w:val="1"/>
                <w:szCs w:val="1"/>
                <w:color w:val="auto"/>
              </w:rPr>
            </w:pPr>
          </w:p>
        </w:tc>
      </w:tr>
      <w:tr>
        <w:trPr>
          <w:trHeight w:val="389"/>
        </w:trPr>
        <w:tc>
          <w:tcPr>
            <w:tcW w:w="126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9720" w:type="dxa"/>
            <w:vAlign w:val="bottom"/>
            <w:gridSpan w:val="5"/>
          </w:tcPr>
          <w:p>
            <w:pPr>
              <w:spacing w:after="0"/>
              <w:rPr>
                <w:sz w:val="20"/>
                <w:szCs w:val="20"/>
                <w:color w:val="auto"/>
              </w:rPr>
            </w:pPr>
            <w:r>
              <w:rPr>
                <w:rFonts w:ascii="Arial" w:cs="Arial" w:eastAsia="Arial" w:hAnsi="Arial"/>
                <w:sz w:val="16"/>
                <w:szCs w:val="16"/>
                <w:color w:val="auto"/>
                <w:w w:val="91"/>
              </w:rPr>
              <w:t>XBRL Instance Document - the instance document does not appear in the Interactive Data File because its XBRL tags are embedded within the Inline</w:t>
            </w:r>
          </w:p>
        </w:tc>
      </w:tr>
      <w:tr>
        <w:trPr>
          <w:trHeight w:val="20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20" w:type="dxa"/>
            <w:vAlign w:val="bottom"/>
            <w:gridSpan w:val="5"/>
          </w:tcPr>
          <w:p>
            <w:pPr>
              <w:spacing w:after="0"/>
              <w:rPr>
                <w:sz w:val="20"/>
                <w:szCs w:val="20"/>
                <w:color w:val="auto"/>
              </w:rPr>
            </w:pPr>
            <w:r>
              <w:rPr>
                <w:rFonts w:ascii="Arial" w:cs="Arial" w:eastAsia="Arial" w:hAnsi="Arial"/>
                <w:sz w:val="16"/>
                <w:szCs w:val="16"/>
                <w:color w:val="auto"/>
              </w:rPr>
              <w:t>XBRL document</w:t>
            </w:r>
          </w:p>
        </w:tc>
      </w:tr>
      <w:tr>
        <w:trPr>
          <w:trHeight w:val="378"/>
        </w:trPr>
        <w:tc>
          <w:tcPr>
            <w:tcW w:w="126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9720" w:type="dxa"/>
            <w:vAlign w:val="bottom"/>
            <w:gridSpan w:val="5"/>
          </w:tcPr>
          <w:p>
            <w:pPr>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26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9720" w:type="dxa"/>
            <w:vAlign w:val="bottom"/>
            <w:gridSpan w:val="5"/>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26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9720" w:type="dxa"/>
            <w:vAlign w:val="bottom"/>
            <w:gridSpan w:val="5"/>
          </w:tcPr>
          <w:p>
            <w:pPr>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26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9720" w:type="dxa"/>
            <w:vAlign w:val="bottom"/>
            <w:gridSpan w:val="5"/>
          </w:tcPr>
          <w:p>
            <w:pPr>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26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9720" w:type="dxa"/>
            <w:vAlign w:val="bottom"/>
            <w:gridSpan w:val="5"/>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405"/>
        </w:trPr>
        <w:tc>
          <w:tcPr>
            <w:tcW w:w="1260" w:type="dxa"/>
            <w:vAlign w:val="bottom"/>
            <w:gridSpan w:val="2"/>
          </w:tcPr>
          <w:p>
            <w:pPr>
              <w:spacing w:after="0"/>
              <w:rPr>
                <w:sz w:val="20"/>
                <w:szCs w:val="20"/>
                <w:color w:val="auto"/>
              </w:rPr>
            </w:pPr>
            <w:r>
              <w:rPr>
                <w:rFonts w:ascii="Arial" w:cs="Arial" w:eastAsia="Arial" w:hAnsi="Arial"/>
                <w:sz w:val="16"/>
                <w:szCs w:val="16"/>
                <w:color w:val="auto"/>
              </w:rPr>
              <w:t>104 ††</w:t>
            </w:r>
          </w:p>
        </w:tc>
        <w:tc>
          <w:tcPr>
            <w:tcW w:w="9720" w:type="dxa"/>
            <w:vAlign w:val="bottom"/>
            <w:gridSpan w:val="5"/>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374" w:lineRule="exact"/>
        <w:rPr>
          <w:sz w:val="20"/>
          <w:szCs w:val="20"/>
          <w:color w:val="auto"/>
        </w:rPr>
      </w:pPr>
    </w:p>
    <w:p>
      <w:pPr>
        <w:ind w:left="720" w:hanging="685"/>
        <w:spacing w:after="0" w:line="335" w:lineRule="auto"/>
        <w:tabs>
          <w:tab w:leader="none" w:pos="7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69</w:t>
      </w:r>
    </w:p>
    <w:p>
      <w:pPr>
        <w:sectPr>
          <w:pgSz w:w="11900" w:h="16838" w:orient="portrait"/>
          <w:cols w:equalWidth="0" w:num="1">
            <w:col w:w="11280"/>
          </w:cols>
          <w:pgMar w:left="240" w:top="580" w:right="379" w:bottom="1440" w:gutter="0" w:footer="0" w:header="0"/>
        </w:sectPr>
      </w:pPr>
    </w:p>
    <w:bookmarkStart w:id="69" w:name="page70"/>
    <w:bookmarkEnd w:id="69"/>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4,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 STEPHEN W.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Stephen W. Hope</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Chief Accounting Officer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720"/>
          </w:cols>
          <w:pgMar w:left="240" w:top="580" w:right="9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2019</w:t>
      </w:r>
    </w:p>
    <w:p>
      <w:pPr>
        <w:spacing w:after="0" w:line="252" w:lineRule="exact"/>
        <w:rPr>
          <w:sz w:val="20"/>
          <w:szCs w:val="20"/>
          <w:color w:val="auto"/>
        </w:rPr>
      </w:pPr>
    </w:p>
    <w:p>
      <w:pPr>
        <w:ind w:left="7680"/>
        <w:spacing w:after="0"/>
        <w:tabs>
          <w:tab w:leader="none" w:pos="8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2019</w:t>
      </w:r>
    </w:p>
    <w:p>
      <w:pPr>
        <w:spacing w:after="0" w:line="252"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68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754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420"/>
          </w:cols>
          <w:pgMar w:left="240" w:top="66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July 31, 2019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4, 2019</w:t>
      </w:r>
    </w:p>
    <w:p>
      <w:pPr>
        <w:spacing w:after="0" w:line="252" w:lineRule="exact"/>
        <w:rPr>
          <w:sz w:val="20"/>
          <w:szCs w:val="20"/>
          <w:color w:val="auto"/>
        </w:rPr>
      </w:pPr>
    </w:p>
    <w:p>
      <w:pPr>
        <w:ind w:left="7440"/>
        <w:spacing w:after="0"/>
        <w:tabs>
          <w:tab w:leader="none" w:pos="77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Andrew Anagnost</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(Principal Executive Officer)</w:t>
      </w:r>
    </w:p>
    <w:p>
      <w:pPr>
        <w:spacing w:after="0" w:line="34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July 31, 2019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4, 2019</w:t>
      </w:r>
    </w:p>
    <w:p>
      <w:pPr>
        <w:spacing w:after="0" w:line="25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6"/>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amp;"/>
      <w:numFmt w:val="bullet"/>
      <w:start w:val="1"/>
    </w:lvl>
  </w:abstractNum>
  <w:abstractNum w:abstractNumId="25">
    <w:nsid w:val="737B8DDC"/>
    <w:multiLevelType w:val="hybridMultilevel"/>
    <w:lvl w:ilvl="0">
      <w:lvlJc w:val="left"/>
      <w:lvlText w:val="(%1)"/>
      <w:numFmt w:val="lowerRoman"/>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2019-12-28T06:23:49Z</dcterms:created>
  <dcterms:modified xsi:type="dcterms:W3CDTF">2019-12-28T06:23:49Z</dcterms:modified>
</cp:coreProperties>
</file>