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October 31, 2015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30, 2015, registrant had outstanding approximately 225,323,161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60" w:type="dxa"/>
            <w:vAlign w:val="bottom"/>
            <w:gridSpan w:val="6"/>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3"/>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for the Three and Nine Months Ended October 31, 2015 and 2014</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Comprehensive (Loss) Income for the Three and Nine Months Ended October 31,</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7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2015 and 2014</w:t>
              </w:r>
            </w:hyperlink>
          </w:p>
        </w:tc>
        <w:tc>
          <w:tcPr>
            <w:tcW w:w="220" w:type="dxa"/>
            <w:vAlign w:val="bottom"/>
          </w:tcPr>
          <w:p>
            <w:pPr>
              <w:spacing w:after="0"/>
              <w:rPr>
                <w:sz w:val="17"/>
                <w:szCs w:val="17"/>
                <w:color w:val="auto"/>
              </w:rPr>
            </w:pPr>
          </w:p>
        </w:tc>
        <w:tc>
          <w:tcPr>
            <w:tcW w:w="1480" w:type="dxa"/>
            <w:vAlign w:val="bottom"/>
            <w:gridSpan w:val="4"/>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October 31, 2015 and January 31, 2015</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October 31, 2015 and 2014</w:t>
              </w:r>
            </w:hyperlink>
          </w:p>
        </w:tc>
        <w:tc>
          <w:tcPr>
            <w:tcW w:w="12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53">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68">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9"/>
          </w:tcPr>
          <w:p>
            <w:pPr>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Mine Safety Disclosures</w:t>
              </w:r>
            </w:hyperlink>
          </w:p>
        </w:tc>
        <w:tc>
          <w:tcPr>
            <w:tcW w:w="654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8">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8">
              <w:r>
                <w:rPr>
                  <w:rFonts w:ascii="Arial" w:cs="Arial" w:eastAsia="Arial" w:hAnsi="Arial"/>
                  <w:sz w:val="18"/>
                  <w:szCs w:val="18"/>
                  <w:b w:val="1"/>
                  <w:bCs w:val="1"/>
                  <w:color w:val="0000FF"/>
                  <w:w w:val="88"/>
                </w:rPr>
                <w:t>Exhibits</w:t>
              </w:r>
            </w:hyperlink>
          </w:p>
        </w:tc>
        <w:tc>
          <w:tcPr>
            <w:tcW w:w="800" w:type="dxa"/>
            <w:vAlign w:val="bottom"/>
            <w:gridSpan w:val="5"/>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9">
              <w:r>
                <w:rPr>
                  <w:rFonts w:ascii="Arial" w:cs="Arial" w:eastAsia="Arial" w:hAnsi="Arial"/>
                  <w:sz w:val="18"/>
                  <w:szCs w:val="18"/>
                  <w:b w:val="1"/>
                  <w:bCs w:val="1"/>
                  <w:color w:val="0000FF"/>
                  <w:w w:val="85"/>
                </w:rPr>
                <w:t>Signatures</w:t>
              </w:r>
            </w:hyperlink>
          </w:p>
        </w:tc>
        <w:tc>
          <w:tcPr>
            <w:tcW w:w="8160" w:type="dxa"/>
            <w:vAlign w:val="bottom"/>
            <w:gridSpan w:val="2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3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4"/>
                <w:szCs w:val="14"/>
                <w:color w:val="auto"/>
              </w:rPr>
            </w:pPr>
          </w:p>
        </w:tc>
        <w:tc>
          <w:tcPr>
            <w:tcW w:w="164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3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280.9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898.1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987.1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860.5</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618.0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1,855.8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1,847.6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1,580.0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1,595.0</w:t>
            </w:r>
          </w:p>
        </w:tc>
        <w:tc>
          <w:tcPr>
            <w:tcW w:w="0" w:type="dxa"/>
            <w:vAlign w:val="bottom"/>
          </w:tcPr>
          <w:p>
            <w:pPr>
              <w:spacing w:after="0"/>
              <w:rPr>
                <w:sz w:val="1"/>
                <w:szCs w:val="1"/>
                <w:color w:val="auto"/>
              </w:rPr>
            </w:pP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708.1</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585.5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1,569.0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1,488.3</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Interest and other expense, net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(loss) income per share</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(loss)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(loss) income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6"/>
                <w:szCs w:val="16"/>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 (net of tax effect of $0.0, $0.5, ($0.7) and ($0.6),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rPr>
              <w:t>Change in net unrealized loss on available-for-sale securities (net of tax effect of $0.0, $0.7, $0.2 and $0.7,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(1)</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(net of tax effect of ($4.5), $3.4, $0.0, and $2.9,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color w:val="auto"/>
              </w:rPr>
              <w:t>Total comprehensive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tcPr>
          <w:p>
            <w:pPr>
              <w:spacing w:after="0"/>
              <w:rPr>
                <w:sz w:val="20"/>
                <w:szCs w:val="20"/>
                <w:color w:val="auto"/>
              </w:rPr>
            </w:pPr>
            <w:r>
              <w:rPr>
                <w:rFonts w:ascii="Arial" w:cs="Arial" w:eastAsia="Arial" w:hAnsi="Arial"/>
                <w:sz w:val="16"/>
                <w:szCs w:val="16"/>
                <w:color w:val="auto"/>
              </w:rPr>
              <w:t>(1)   There were no tax effects related to defined benefit pension items for each of the periods presented.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2015</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2015</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1,410.6</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946.8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2,747.5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2,671.3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1,456.2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4,909.7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Borrowings under line of credit</w:t>
            </w: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1,400.1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 term income taxes payable</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 term notes payable,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1,773.1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5,220.0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4,909.7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w w:val="98"/>
              </w:rPr>
              <w:t>Nine Months Ended October 31,</w:t>
            </w: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(293.3)</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70.3</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109.9</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65.9</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450.9</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(899.0)</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2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160.7</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623.2</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(777.7)</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(307.6)</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 net of discount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2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1,853.0</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October 31, 2015, and for the three and nine months ended October 31, 2015 and 2014,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2015 are not necessarily indicative of the results for the entire fiscal year ending January 31, 2016, or for any other period. There have been no material changes to Autodesk's significant accounting policies as compared to the significant accounting policies disclosed in the Annual Report on Form 10-K for the fiscal year ended January 31, 2015.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2015, filed on March 18, 2015.</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previously established a valuation allowance against the Company’s deferred tax assets during the three months ended July 31, 2015. In the course of preparing the Condensed Consolidated Financial Statements for the three and nine months ended October 31, 2015, Autodesk determined that it had understated income tax expense by $33.1 million for the three and six months ended July 31, 2015, primarily related to an error in the establishment of the valuation allowance, which had been understated at July 31, 2015.</w:t>
      </w:r>
    </w:p>
    <w:p>
      <w:pPr>
        <w:spacing w:after="0" w:line="18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Autodesk performed the analysis required by Staff Accounting Bulletin 99, </w:t>
      </w:r>
      <w:r>
        <w:rPr>
          <w:rFonts w:ascii="Arial" w:cs="Arial" w:eastAsia="Arial" w:hAnsi="Arial"/>
          <w:sz w:val="18"/>
          <w:szCs w:val="18"/>
          <w:i w:val="1"/>
          <w:iCs w:val="1"/>
          <w:color w:val="auto"/>
        </w:rPr>
        <w:t>Materiality</w:t>
      </w:r>
      <w:r>
        <w:rPr>
          <w:rFonts w:ascii="Arial" w:cs="Arial" w:eastAsia="Arial" w:hAnsi="Arial"/>
          <w:sz w:val="18"/>
          <w:szCs w:val="18"/>
          <w:color w:val="auto"/>
        </w:rPr>
        <w:t>, to evaluate the materiality of the error, quantitatively and qualitatively, and concluded it was not material to the Company’s Condensed Consolidated Financial Statements as of July 31, 2015 and for the three and six month periods ended July 31, 2015. However, in light of the significance of a correction of the error to the results for the three months ended October 31, 2015, Autodesk chose to correct the error by revising the previously reported results for the three and six months ended July 31, 2015, to include the additional $33.1 million of income tax expense associated with the establishment of the valuation allowance. See Note 6, "Income Tax," in the Notes to the Condensed Consolidated Financial Statements for further discussion.</w:t>
      </w:r>
    </w:p>
    <w:p>
      <w:pPr>
        <w:spacing w:after="0" w:line="193"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During the quarter ended April 30, 2015, Autodesk determined that it had not correctly accounted for certain liabilities primarily related to employee benefits and unclaimed property. Accordingly, during the nine months ended October 31, 2015, we recorded $5.7 million of additional operating expenses related to prior periods.</w:t>
      </w:r>
    </w:p>
    <w:p>
      <w:pPr>
        <w:spacing w:after="0" w:line="181"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 xml:space="preserve">As these adjustments were related to the correction of errors, Autodesk performed the analysis required by Staff Accounting Bulletin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and Staff Accounting Bulletin 108, </w:t>
      </w:r>
      <w:r>
        <w:rPr>
          <w:rFonts w:ascii="Arial" w:cs="Arial" w:eastAsia="Arial" w:hAnsi="Arial"/>
          <w:sz w:val="16"/>
          <w:szCs w:val="16"/>
          <w:i w:val="1"/>
          <w:iCs w:val="1"/>
          <w:color w:val="auto"/>
        </w:rPr>
        <w:t>Considering the Effects of Prior Year Misstatements When Quantifying Misstatements in Current Year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Based on this analysis, Autodesk concluded that the effect of the errors was not material to the financial position, results of operations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of any prior fiscal year from both a quantitative and qualitative perspective and is not anticipated to be material to the full fiscal year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2015, that are of significance, or potential significance, to the Company.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Effective in the third quarter of fiscal 2016, Autodesk elected to early adopt FABS's Accounting Standards Update No. 2015-16 ("ASU 2015-16") regarding ASC Topic 805 "Business Combinations: Simplifying the Accounting for Measurement-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280"/>
        <w:spacing w:after="0" w:line="259" w:lineRule="auto"/>
        <w:rPr>
          <w:sz w:val="20"/>
          <w:szCs w:val="20"/>
          <w:color w:val="auto"/>
        </w:rPr>
      </w:pPr>
      <w:r>
        <w:rPr>
          <w:rFonts w:ascii="Arial" w:cs="Arial" w:eastAsia="Arial" w:hAnsi="Arial"/>
          <w:sz w:val="18"/>
          <w:szCs w:val="18"/>
          <w:color w:val="auto"/>
        </w:rPr>
        <w:t>Period Adjustments." The amendments in ASU 2015-16 eliminate the requirement to restate prior period financial statements for measurement period adjustments. The amendments also require that the cumulative impact of a measurement period adjustment (including the impact on prior periods) be recognized in the reporting period in which the adjustment is identified. The amendments for ASU-2015-16 were prospectively applied and did not have a material impact on Autodesk's consolidated financial statements.</w:t>
      </w:r>
    </w:p>
    <w:p>
      <w:pPr>
        <w:spacing w:after="0" w:line="18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Effective in the second quarter of fiscal 2016, Autodesk elected to early adopt FASB's Accounting Standards Update 2015-03 (“ASU 2015-03”) regarding Subtopic 835-30 “Interest - Imputation of Interest: Simplifying the Presentation of Debt Issuance Costs.” The amendments in ASU 2015-03 require that debt issuance costs related to a recognized debt liability be presented in the balance sheet as a direct deduction from the carrying amount of that debt liability, consistent with debt discounts. The standard requires retrospective application and represents a change in accounting principle. The adoption of ASU 2015-03 resulted in a $4.1 million retrospective reduction of both our other assets and long term notes payable, net, as of January 31, 2015.</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November 2015, the FASB issued Accounting Standards Update No. 2015-17 ("ASU 2015-17") regarding ASC Topic 470 "Income Taxes: Balance Sheet Classification of Deferred Taxes." The amendments in ASU 2015-17 eliminate the requirement to bifurcate Deferred Taxes between current and non-current on the balance sheet and requires that deferred tax liabilities and assets be classified as noncurrent on the balance sheet. The amendments for ASU-2015-17 can be applied retrospectively or prospectively and early adoption is permitted. Autodesk does not expect ASU 2015-17 to have a material impact on Autodesk's consolidated financial statements.</w:t>
      </w:r>
    </w:p>
    <w:p>
      <w:pPr>
        <w:spacing w:after="0" w:line="188"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May 2015, the FASB issued Accounting Standards Update No. 2015-07 ("ASU 2015-07") regarding ASC Topic 820 "Fair Value Measurement: Disclosures for Investments in Certain Entities That Calculate Net Asset Value per Share (or Its Equivalent)." The amendments in ASU 2015-07 remove the requirement to categorize within the fair value hierarchy all investments for which fair value is measured using the net asset value per share practical expedient. The amendments also limit certain disclosures to investments for which the entity has elected to measure at fair value using the net asset value per share practical expedient. The amendments in ASU 2015-07 are effective for annual and interim periods beginning after December 15, 2015. Early adoption is permitted. The amendments should be applied retrospectively by removing from the fair value hierarchy any investments for which fair value is measured using the net asset value per share practical expedient. Autodesk does not expect ASU 2015-07 to have a material impact on its consolidated financial statements.</w:t>
      </w:r>
    </w:p>
    <w:p>
      <w:pPr>
        <w:spacing w:after="0" w:line="19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April 2015, the FASB issued Accounting Standards Update No. 2015-05 ("ASU 2015-05") regarding Subtopic 350-40, “Intangibles - Goodwill and Other - Internal-Use Software: Customer's Accounting for Fees Paid in a Cloud Computing Arrangement.” The amendments in this ASU provide guidance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in ASU 2015-05 are effective for annual and interim periods beginning after December 15, 2015. Early adoption is permitted. The amendments in ASU 2015-05 may be applied either prospectively to all arrangements entered into or materially modified after the effective date or retrospectively. Autodesk does not expect ASU 2015-05 to have a material impact on its consolidated financial statements.</w:t>
      </w:r>
    </w:p>
    <w:p>
      <w:pPr>
        <w:spacing w:after="0" w:line="192"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May 2014, the FASB issued Accounting Standards Update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On July 7, 2015, the FASB amended ASU 2014-09 to defer the effective date by one year with early adoption permitted as of the original effective date. ASU 2014-09 will be effective for Autodesk’s fiscal year beginning February 1, 2018 unless we elect the earlier date of February 1, 2017. Autodesk is currently evaluating the accounting, transition and disclosure requirements of the standard and can neither estimate the current financial statement impact of adoption, nor the effective date election.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Citibank, N.A., an affiliate of Citigroup, is one of the lead lenders and an agent in the syndicate of Autodesk’s $400.0 million line of credit facility.</w:t>
      </w:r>
    </w:p>
    <w:p>
      <w:pPr>
        <w:spacing w:after="0" w:line="23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Total sales to the distributor Tech Data Corporation and its global affiliates (“Tech Data”) accounted for 26% and 25% of Autodesk’s total net revenue for the three and nine months ended October 31, 2015, respectively, and 26% for both the three and nine months ended October 31, 2014. The majority of the net revenue from sales to Tech Data relates to Autodesk’s Architecture, Engineering and Construction (“AEC”) segment and is for sales made outside of the United States. In addition, Tech Data accounted for 25% and 22% of trade accounts receivable at October 31, 2015 and January 31,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October 31, 2015 and January 31,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October 31, 2015</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Custody cash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Agency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Short-term available-for-sale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Certificate of deposit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Corporate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U.S. treasury bills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Asset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Agency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Asset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4"/>
        </w:trPr>
        <w:tc>
          <w:tcPr>
            <w:tcW w:w="390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2,313.1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2,315.7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1,616.2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695.3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January 31, 2015</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4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Custody cash deposit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available-for-sale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Long-term available-for-sale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199.4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nine months ended October 31, 2015.</w:t>
      </w:r>
    </w:p>
    <w:p>
      <w:pPr>
        <w:spacing w:after="0" w:line="169"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22" w:right="259" w:bottom="1440" w:gutter="0" w:footer="0" w:header="0"/>
        </w:sectPr>
      </w:pPr>
    </w:p>
    <w:bookmarkStart w:id="10" w:name="page11"/>
    <w:bookmarkEnd w:id="10"/>
    <w:p>
      <w:pPr>
        <w:ind w:right="340"/>
        <w:spacing w:after="0" w:line="302" w:lineRule="auto"/>
        <w:rPr>
          <w:sz w:val="20"/>
          <w:szCs w:val="20"/>
          <w:color w:val="auto"/>
        </w:rPr>
      </w:pPr>
      <w:r>
        <w:rPr>
          <w:rFonts w:ascii="Arial" w:cs="Arial" w:eastAsia="Arial" w:hAnsi="Arial"/>
          <w:sz w:val="16"/>
          <w:szCs w:val="16"/>
          <w:color w:val="auto"/>
        </w:rPr>
        <w:t>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2015 was as follows:</w:t>
      </w:r>
    </w:p>
    <w:p>
      <w:pPr>
        <w:spacing w:after="0" w:line="37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January 31, 2015</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Purchases</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Gains included in earnings</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Gains included in OCI</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Balance at October 31, 2015</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October 31, 2015</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0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543.4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543.8</w:t>
            </w:r>
          </w:p>
        </w:tc>
      </w:tr>
      <w:tr>
        <w:trPr>
          <w:trHeight w:val="33"/>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6"/>
              </w:rPr>
              <w:t>1,446.4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1,446.6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of October 31, 2015 and January 31, 2015, Autodesk had no material securities in a continuous unrealized loss position for greater than twelve months.</w:t>
      </w:r>
    </w:p>
    <w:p>
      <w:pPr>
        <w:spacing w:after="0" w:line="17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As of October 31, 2015 and January 31, 2015, Autodesk had $74.2 million and $52.6 million, respectively, in direct investments in privately held companies accounted for under the cost method, which are periodically assessed for other-than-temporary impairment.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18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If Autodesk determines that an other-than-temporary impairment has occurred, Autodesk writes down the investment to its fair value. During the nine months ended October 31, 2015, Autodesk recorded $0.2 million in other-than-temporary impairment on its privately held equity investments. During the nine months ended October 31, 2014, Autodesk recorded a $3.4 million other-than-temporary impairment on its privately held equity investments.</w:t>
      </w:r>
    </w:p>
    <w:p>
      <w:pPr>
        <w:spacing w:after="0" w:line="14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nine months ended October 31, 2015 and 2014 resulted in gains of $0.3 million and $0.7 million, respectively. Gains and losses resulting from the sale or redemption of "available-for-sale securities" are recorded in “Interest and other expense, net” on the Company's Condensed Consolidated Statements of Operations.</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nine months ended October 31, 2015 and 2014 were $1.2 billion and $0.8 billion,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$328.3 million at October 31, 2015 and $336.6 million at January 31, 2015. Outstanding contracts are recognized as either assets or liabilities on the balance sheet at fair value. The majority of the net gain of $20.6 million remaining in “Accumulated other comprehensive loss” as of October 31, 2015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$1.5 million at October 31, 2015 and $44.6 million at January 31, 2015.</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net.”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84" w:right="31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October 31, 2015 and January 31, 2015: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2"/>
                <w:szCs w:val="22"/>
                <w:color w:val="auto"/>
              </w:rPr>
            </w:pPr>
          </w:p>
        </w:tc>
        <w:tc>
          <w:tcPr>
            <w:tcW w:w="264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October 31, 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4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2640" w:type="dxa"/>
            <w:vAlign w:val="bottom"/>
            <w:gridSpan w:val="2"/>
          </w:tcPr>
          <w:p>
            <w:pPr>
              <w:ind w:left="180"/>
              <w:spacing w:after="0"/>
              <w:rPr>
                <w:sz w:val="20"/>
                <w:szCs w:val="20"/>
                <w:color w:val="auto"/>
              </w:rPr>
            </w:pPr>
            <w:r>
              <w:rPr>
                <w:rFonts w:ascii="Arial" w:cs="Arial" w:eastAsia="Arial" w:hAnsi="Arial"/>
                <w:sz w:val="16"/>
                <w:szCs w:val="16"/>
                <w:color w:val="auto"/>
              </w:rPr>
              <w:t>assets (1)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4"/>
        </w:trPr>
        <w:tc>
          <w:tcPr>
            <w:tcW w:w="59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 (2)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94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$6.4 million and $23.8 million at October 31, 2015 and January 31, 2015, respectively.</w:t>
      </w:r>
    </w:p>
    <w:p>
      <w:pPr>
        <w:ind w:left="42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$5.5 million and $8.7 million at October 31, 2015 and January 31, 2015,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nine months ended October 31, 2015 and 2014 (amounts presented include any income tax effects):</w:t>
      </w:r>
    </w:p>
    <w:p>
      <w:pPr>
        <w:spacing w:after="0" w:line="32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6"/>
                <w:szCs w:val="16"/>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660" w:type="dxa"/>
            <w:vAlign w:val="bottom"/>
            <w:tcBorders>
              <w:bottom w:val="single" w:sz="8" w:color="CCEEFF"/>
            </w:tcBorders>
          </w:tcPr>
          <w:p>
            <w:pPr>
              <w:spacing w:after="0"/>
              <w:rPr>
                <w:sz w:val="22"/>
                <w:szCs w:val="22"/>
                <w:color w:val="auto"/>
              </w:rPr>
            </w:pPr>
          </w:p>
        </w:tc>
        <w:tc>
          <w:tcPr>
            <w:tcW w:w="66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5"/>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7"/>
                <w:shd w:val="clear" w:color="auto" w:fill="CCEEFF"/>
              </w:rPr>
              <w:t>Amount o</w:t>
            </w: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w w:val="91"/>
              </w:rPr>
              <w:t xml:space="preserve">f (loss) gain recognized </w:t>
            </w:r>
            <w:r>
              <w:rPr>
                <w:rFonts w:ascii="Arial" w:cs="Arial" w:eastAsia="Arial" w:hAnsi="Arial"/>
                <w:sz w:val="16"/>
                <w:szCs w:val="16"/>
                <w:i w:val="1"/>
                <w:iCs w:val="1"/>
                <w:color w:val="auto"/>
                <w:w w:val="91"/>
                <w:shd w:val="clear" w:color="auto" w:fill="CCEEFF"/>
              </w:rPr>
              <w:t>in accumulated other comprehensive income on derivatives (effective portion)</w:t>
            </w:r>
          </w:p>
        </w:tc>
        <w:tc>
          <w:tcPr>
            <w:tcW w:w="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gain (loss) reclassified from accumulated other comprehensive income into income (effective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880" w:type="dxa"/>
            <w:vAlign w:val="bottom"/>
            <w:gridSpan w:val="3"/>
          </w:tcPr>
          <w:p>
            <w:pPr>
              <w:ind w:left="200"/>
              <w:spacing w:after="0"/>
              <w:rPr>
                <w:sz w:val="20"/>
                <w:szCs w:val="20"/>
                <w:color w:val="auto"/>
              </w:rPr>
            </w:pPr>
            <w:r>
              <w:rPr>
                <w:rFonts w:ascii="Arial" w:cs="Arial" w:eastAsia="Arial" w:hAnsi="Arial"/>
                <w:sz w:val="16"/>
                <w:szCs w:val="16"/>
                <w:i w:val="1"/>
                <w:iCs w:val="1"/>
                <w:color w:val="auto"/>
              </w:rPr>
              <w:t>portion)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7880" w:type="dxa"/>
            <w:vAlign w:val="bottom"/>
            <w:gridSpan w:val="3"/>
          </w:tcPr>
          <w:p>
            <w:pPr>
              <w:ind w:left="38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(loss) gain recognized in income on derivatives (ineffective portion and amount excluded from</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880" w:type="dxa"/>
            <w:vAlign w:val="bottom"/>
            <w:gridSpan w:val="3"/>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2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ind w:right="12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nine months ended October 31, 2015 and 2014 (amounts presented include any income tax effects):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6"/>
                <w:szCs w:val="16"/>
                <w:color w:val="auto"/>
              </w:rPr>
            </w:pP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October 31,</w:t>
            </w:r>
          </w:p>
        </w:tc>
      </w:tr>
      <w:tr>
        <w:trPr>
          <w:trHeight w:val="264"/>
        </w:trPr>
        <w:tc>
          <w:tcPr>
            <w:tcW w:w="78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2014</w:t>
            </w:r>
          </w:p>
        </w:tc>
      </w:tr>
      <w:tr>
        <w:trPr>
          <w:trHeight w:val="250"/>
        </w:trPr>
        <w:tc>
          <w:tcPr>
            <w:tcW w:w="7880" w:type="dxa"/>
            <w:vAlign w:val="bottom"/>
            <w:tcBorders>
              <w:bottom w:val="single" w:sz="8" w:color="CCEEFF"/>
            </w:tcBorders>
            <w:shd w:val="clear" w:color="auto" w:fill="CCEEFF"/>
          </w:tcPr>
          <w:p>
            <w:pPr>
              <w:jc w:val="right"/>
              <w:ind w:right="3336"/>
              <w:spacing w:after="0"/>
              <w:rPr>
                <w:sz w:val="20"/>
                <w:szCs w:val="20"/>
                <w:color w:val="auto"/>
              </w:rPr>
            </w:pPr>
            <w:r>
              <w:rPr>
                <w:rFonts w:ascii="Arial" w:cs="Arial" w:eastAsia="Arial" w:hAnsi="Arial"/>
                <w:sz w:val="16"/>
                <w:szCs w:val="16"/>
                <w:i w:val="1"/>
                <w:iCs w:val="1"/>
                <w:color w:val="auto"/>
                <w:w w:val="92"/>
              </w:rPr>
              <w:t>Amount and location of loss recognized in income on derivatives (1)</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jc w:val="right"/>
              <w:ind w:right="5436"/>
              <w:spacing w:after="0"/>
              <w:rPr>
                <w:sz w:val="20"/>
                <w:szCs w:val="20"/>
                <w:color w:val="auto"/>
              </w:rPr>
            </w:pPr>
            <w:r>
              <w:rPr>
                <w:rFonts w:ascii="Arial" w:cs="Arial" w:eastAsia="Arial" w:hAnsi="Arial"/>
                <w:sz w:val="16"/>
                <w:szCs w:val="16"/>
                <w:color w:val="auto"/>
              </w:rPr>
              <w:t>Interest and other expense,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49"/>
        </w:trPr>
        <w:tc>
          <w:tcPr>
            <w:tcW w:w="7880" w:type="dxa"/>
            <w:vAlign w:val="bottom"/>
          </w:tcPr>
          <w:p>
            <w:pPr>
              <w:jc w:val="right"/>
              <w:ind w:right="5996"/>
              <w:spacing w:after="0"/>
              <w:rPr>
                <w:sz w:val="20"/>
                <w:szCs w:val="20"/>
                <w:color w:val="auto"/>
              </w:rPr>
            </w:pPr>
            <w:r>
              <w:rPr>
                <w:rFonts w:ascii="Arial" w:cs="Arial" w:eastAsia="Arial" w:hAnsi="Arial"/>
                <w:sz w:val="18"/>
                <w:szCs w:val="18"/>
                <w:color w:val="auto"/>
                <w:w w:val="88"/>
              </w:rPr>
              <w:t>____________________</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period balances have been adjusted to conform to current period presentation.</w:t>
      </w:r>
    </w:p>
    <w:p>
      <w:pPr>
        <w:spacing w:after="0" w:line="180" w:lineRule="exact"/>
        <w:rPr>
          <w:sz w:val="20"/>
          <w:szCs w:val="20"/>
          <w:color w:val="auto"/>
        </w:rPr>
      </w:pPr>
    </w:p>
    <w:p>
      <w:pPr>
        <w:ind w:left="220" w:right="8540" w:hanging="212"/>
        <w:spacing w:after="0" w:line="501" w:lineRule="auto"/>
        <w:tabs>
          <w:tab w:leader="none" w:pos="18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Stock Plans</w:t>
      </w:r>
    </w:p>
    <w:p>
      <w:pPr>
        <w:ind w:right="40" w:firstLine="432"/>
        <w:spacing w:after="0" w:line="257" w:lineRule="auto"/>
        <w:rPr>
          <w:sz w:val="20"/>
          <w:szCs w:val="20"/>
          <w:color w:val="auto"/>
        </w:rPr>
      </w:pPr>
      <w:r>
        <w:rPr>
          <w:rFonts w:ascii="Arial" w:cs="Arial" w:eastAsia="Arial" w:hAnsi="Arial"/>
          <w:sz w:val="18"/>
          <w:szCs w:val="18"/>
          <w:color w:val="auto"/>
        </w:rPr>
        <w:t>As of October 31, 2015,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two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On June 10, 2015, Autodesk's stockholders approved an amendment to the 2012 Employee Plan, which increased the number of shares reserved for issuance under the plan by 12.5 million shares. The 2012 Employee Plan replaced the 2008 Employee Stock Plan, as amended ("2008 Plan"), and no further equity awards may be granted under the 2008 Plan. The 2012 Employee Plan reserves up to 45.1 million shares, which includes 39.1 million shares reserved under the 2012 Employee Plan, and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October 31, 2015, 27.7 million shares subject to options or restricted stock unit awards have been granted under the 2012 Employee Plan. Options and restricted stock units that were granted under the 2012 Employee Plan vest over periods ranging from immediately upon grant to over a three-year period and options expire 10 years from the date of grant. The 2012 Employee Plan will expire on June 30, 2022. At October 31, 2015, 19.8 million shares were available for future issuance under the 2012 Employee Plan.</w:t>
      </w:r>
    </w:p>
    <w:p>
      <w:pPr>
        <w:spacing w:after="0" w:line="16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2012 Directors' Plan was approved by Autodesk's stockholders and became effective on January 6, 2012. The 2012 Directors' Plan replaced the 2010 Outside Directors' Stock Plan, as amended.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October 31, 2015, 0.7 million shares subject to restricted stock units have been granted under the 2012 Directors' Plan. Restricted stock units that were granted under the 2012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October 31, 2015, 1.0 million shares were available for future issuance under the 2012 Directors' Plan.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nine months ended October 31,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1"/>
                <w:szCs w:val="21"/>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2015</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exercisable and outstanding at October 31, 2015</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October 31, 2015</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Autodesk did not grant stock options in the nine months ended October 31, 2015.</w:t>
      </w:r>
    </w:p>
    <w:p>
      <w:pPr>
        <w:spacing w:after="0" w:line="9" w:lineRule="exact"/>
        <w:rPr>
          <w:rFonts w:ascii="Arial" w:cs="Arial" w:eastAsia="Arial" w:hAnsi="Arial"/>
          <w:sz w:val="16"/>
          <w:szCs w:val="16"/>
          <w:color w:val="auto"/>
        </w:rPr>
      </w:pPr>
    </w:p>
    <w:p>
      <w:pPr>
        <w:ind w:left="420" w:right="120" w:hanging="412"/>
        <w:spacing w:after="0" w:line="257"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$55.19 per share as of October 31, 2015, which would have been received by the option holders had all option holders exercised their options as of that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31, 2015, compensation cost related to stock options has been fully recognized.</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during the three and nine months ended October 31, 2015 and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6"/>
                <w:szCs w:val="16"/>
                <w:color w:val="auto"/>
              </w:rPr>
            </w:pP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October 31,</w:t>
            </w:r>
          </w:p>
        </w:tc>
      </w:tr>
      <w:tr>
        <w:trPr>
          <w:trHeight w:val="264"/>
        </w:trPr>
        <w:tc>
          <w:tcPr>
            <w:tcW w:w="79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2014</w:t>
            </w: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54.5</w:t>
            </w:r>
          </w:p>
        </w:tc>
      </w:tr>
      <w:tr>
        <w:trPr>
          <w:trHeight w:val="220"/>
        </w:trPr>
        <w:tc>
          <w:tcPr>
            <w:tcW w:w="790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25"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8"/>
          <w:szCs w:val="18"/>
          <w:color w:val="auto"/>
        </w:rPr>
        <w:t>The following table summarizes information about options vested, exercisable and outstanding at October 31, 2015:</w:t>
      </w:r>
    </w:p>
    <w:p>
      <w:pPr>
        <w:spacing w:after="0" w:line="366" w:lineRule="exact"/>
        <w:rPr>
          <w:sz w:val="20"/>
          <w:szCs w:val="20"/>
          <w:color w:val="auto"/>
        </w:rPr>
      </w:pPr>
    </w:p>
    <w:tbl>
      <w:tblPr>
        <w:tblLayout w:type="fixed"/>
        <w:tblInd w:w="69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9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9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life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9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value (1)</w:t>
            </w:r>
          </w:p>
        </w:tc>
        <w:tc>
          <w:tcPr>
            <w:tcW w:w="0" w:type="dxa"/>
            <w:vAlign w:val="bottom"/>
          </w:tcPr>
          <w:p>
            <w:pPr>
              <w:spacing w:after="0"/>
              <w:rPr>
                <w:sz w:val="1"/>
                <w:szCs w:val="1"/>
                <w:color w:val="auto"/>
              </w:rPr>
            </w:pPr>
          </w:p>
        </w:tc>
      </w:tr>
      <w:tr>
        <w:trPr>
          <w:trHeight w:val="186"/>
        </w:trPr>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per-share exercise prices: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jc w:val="right"/>
              <w:ind w:right="5237"/>
              <w:spacing w:after="0"/>
              <w:rPr>
                <w:sz w:val="20"/>
                <w:szCs w:val="20"/>
                <w:color w:val="auto"/>
              </w:rPr>
            </w:pPr>
            <w:r>
              <w:rPr>
                <w:rFonts w:ascii="Arial" w:cs="Arial" w:eastAsia="Arial" w:hAnsi="Arial"/>
                <w:sz w:val="16"/>
                <w:szCs w:val="16"/>
                <w:color w:val="auto"/>
              </w:rPr>
              <w:t>$12.31 - $29.49</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34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24.62</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jc w:val="right"/>
              <w:ind w:right="5237"/>
              <w:spacing w:after="0"/>
              <w:rPr>
                <w:sz w:val="20"/>
                <w:szCs w:val="20"/>
                <w:color w:val="auto"/>
              </w:rPr>
            </w:pPr>
            <w:r>
              <w:rPr>
                <w:rFonts w:ascii="Arial" w:cs="Arial" w:eastAsia="Arial" w:hAnsi="Arial"/>
                <w:sz w:val="16"/>
                <w:szCs w:val="16"/>
                <w:color w:val="auto"/>
              </w:rPr>
              <w:t>$29.50 - $41.62</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39.68</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jc w:val="right"/>
              <w:ind w:right="5237"/>
              <w:spacing w:after="0"/>
              <w:rPr>
                <w:sz w:val="20"/>
                <w:szCs w:val="20"/>
                <w:color w:val="auto"/>
              </w:rPr>
            </w:pPr>
            <w:r>
              <w:rPr>
                <w:rFonts w:ascii="Arial" w:cs="Arial" w:eastAsia="Arial" w:hAnsi="Arial"/>
                <w:sz w:val="16"/>
                <w:szCs w:val="16"/>
                <w:color w:val="auto"/>
              </w:rPr>
              <w:t>$42.39 - $43.81</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43.80</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jc w:val="right"/>
              <w:ind w:right="3777"/>
              <w:spacing w:after="0"/>
              <w:rPr>
                <w:sz w:val="20"/>
                <w:szCs w:val="20"/>
                <w:color w:val="auto"/>
              </w:rPr>
            </w:pPr>
            <w:r>
              <w:rPr>
                <w:rFonts w:ascii="Arial" w:cs="Arial" w:eastAsia="Arial" w:hAnsi="Arial"/>
                <w:sz w:val="16"/>
                <w:szCs w:val="16"/>
                <w:color w:val="auto"/>
                <w:w w:val="90"/>
              </w:rPr>
              <w:t>Options vested, exercisable and outstanding</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35.63</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
        </w:trPr>
        <w:tc>
          <w:tcPr>
            <w:tcW w:w="6740" w:type="dxa"/>
            <w:vAlign w:val="bottom"/>
            <w:vMerge w:val="restart"/>
          </w:tcPr>
          <w:p>
            <w:pPr>
              <w:jc w:val="right"/>
              <w:ind w:right="5257"/>
              <w:spacing w:after="0"/>
              <w:rPr>
                <w:sz w:val="20"/>
                <w:szCs w:val="20"/>
                <w:color w:val="auto"/>
              </w:rPr>
            </w:pPr>
            <w:r>
              <w:rPr>
                <w:rFonts w:ascii="Arial" w:cs="Arial" w:eastAsia="Arial" w:hAnsi="Arial"/>
                <w:sz w:val="18"/>
                <w:szCs w:val="18"/>
                <w:color w:val="auto"/>
                <w:w w:val="91"/>
              </w:rPr>
              <w:t>_______________</w:t>
            </w: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20" w:hanging="412"/>
        <w:spacing w:after="0" w:line="263"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$55.19 per share as of October 31, 2015,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nine months ended October 31,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2015</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October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7,801.3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3,268.8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50.42</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(2,949.1)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44.61</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(364.6)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7,791.0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951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740" w:space="600"/>
            <w:col w:w="3080"/>
          </w:cols>
          <w:pgMar w:left="240" w:top="584" w:right="239" w:bottom="1440" w:gutter="0" w:footer="0" w:header="0"/>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951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right="100" w:hanging="412"/>
        <w:spacing w:after="0" w:line="254"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Autodesk's financial results for fiscal 2015, 2014 and 2013 performance period. The performance stock units were earned at 113.8%, 65.8%, and 92.3% of the target award, respectively. The vesting of the 2013 performance stock units was subject to the holders satisfying the remaining service condition of the awards, which ended in March 2015.</w:t>
      </w:r>
    </w:p>
    <w:p>
      <w:pPr>
        <w:spacing w:after="0" w:line="18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For the restricted stock units granted during the nine months ended October 31, 2015 and 2014, the weighted average grant date fair value was $50.42 and $52.89, respectively. The fair value of the shares vested during the nine months ended October 31, 2015 and 2014 was $156.6 million and $110.5 million, respectively.</w:t>
      </w:r>
    </w:p>
    <w:p>
      <w:pPr>
        <w:spacing w:after="0" w:line="18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During the nine months ended October 31, 2015, Autodesk granted 2.8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$37.9 million and $103.7 million during the three and nine months ended October 31, 2015, respectively. Autodesk recorded stock-based compensation expense related to restricted stock units of $31.2 million and $82.1 million during the three and nine months ended October 31, 2014, respectively. As of October 31, 2015, total compensation cost not yet recognized of $250.6 million related to non-vested restricted stock units is expected to be recognized over a weighted average period of 1.8 years. At October 31, 2015, the number of restricted stock units granted but unvested was 7.0 million.</w:t>
      </w:r>
    </w:p>
    <w:p>
      <w:pPr>
        <w:spacing w:after="0" w:line="16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During the nine months ended October 31, 2015, Autodesk granted 0.4 million performance restricted stock units (“PSUs”) for which the ultimate number of shares earned is determined based on the achievement of performance criteria at the end of the stated service and performance period. The performance criteria for these grants are based upon billings and subscriptions goals adopted by the Compensation and Human Resource Committee, as well as total stockholder return compared against the S&amp;P Computer Software Select Index (“Relative TSR”). Each PSU covers a three year period:</w:t>
      </w:r>
    </w:p>
    <w:p>
      <w:pPr>
        <w:spacing w:after="0" w:line="154" w:lineRule="exact"/>
        <w:rPr>
          <w:sz w:val="20"/>
          <w:szCs w:val="20"/>
          <w:color w:val="auto"/>
        </w:rPr>
      </w:pPr>
    </w:p>
    <w:p>
      <w:pPr>
        <w:ind w:left="660" w:right="3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one, depending upon the achievement of the billings and subscriptions goals for year one as well as 1-year Relative TSR (covering year one).</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two, depending upon the achievement of the billings and subscriptions goals for year two as well as 2-year Relative TSR (covering years one and two).</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three, depending upon the achievement of the billings and subscriptions goals for year three as well as 3-year Relative TSR (covering years one, two and three).</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accelerated attribution over the vesting period. Autodesk recorded stock-based compensation expense related to PSUs of $5.7 million and $17.2 million for the three and nine months ended October 31, 2015, respectively. Autodesk recorded stock-based compensation expense related to PSUs of $4.9 million and $12.7 million during the three and nine months ended October 31, 2014, respectively. As of October 31, 2015, total compensation cost not yet recognized of $9.6 million related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140"/>
        <w:spacing w:after="0" w:line="277" w:lineRule="auto"/>
        <w:rPr>
          <w:sz w:val="20"/>
          <w:szCs w:val="20"/>
          <w:color w:val="auto"/>
        </w:rPr>
      </w:pPr>
      <w:r>
        <w:rPr>
          <w:rFonts w:ascii="Arial" w:cs="Arial" w:eastAsia="Arial" w:hAnsi="Arial"/>
          <w:sz w:val="18"/>
          <w:szCs w:val="18"/>
          <w:color w:val="auto"/>
        </w:rPr>
        <w:t>non-vested performance restricted stock units, is expected to be recognized over a weighted average period of 1.1 years. At October 31, 2015, the number of PSUs granted but not vested was 0.8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no less than 85% of fair market value as defined in the ESPP. At October 31, 2015, a total of 38.6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ESPP, the Company issues shares on the first trading day following March 31 and September 30 of each fiscal year. The ESPP expires during fiscal 2018.</w:t>
      </w:r>
    </w:p>
    <w:p>
      <w:pPr>
        <w:spacing w:after="0" w:line="193"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Autodesk issued 1.0 million and 2.1 million shares under the ESPP during the three and nine months ended October 31, 2015, with an average price of $35.59 and $36.29 per share. During the three and nine months ended October 31, 2014, Autodesk issued 1.0 million and 2.1 million shares under the ESPP, at an average price of $34.19 and $33.91 per share. The weighted average grant date fair value of awards granted under the ESPP was $11.91 and $11.85 during the three and nine months ended October 31, 2015, calculated as of the award grant date using the Black-Scholes Merton (“BSM") option pricing model. The weighted average grant date fair value of awards granted under the ESPP during the three and nine months ended October 31, 2014, calculated as of the award grant date using the BSM option pricing model, was $15.44 and $15.14 per share.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2015 and 2014, respectively, as follows:</w:t>
      </w:r>
    </w:p>
    <w:p>
      <w:pPr>
        <w:spacing w:after="0" w:line="297"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r>
      <w:tr>
        <w:trPr>
          <w:trHeight w:val="23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18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14.7</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43.1</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31.4</w:t>
            </w:r>
          </w:p>
        </w:tc>
      </w:tr>
      <w:tr>
        <w:trPr>
          <w:trHeight w:val="33"/>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363"/>
        </w:trPr>
        <w:tc>
          <w:tcPr>
            <w:tcW w:w="9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October 31,</w:t>
            </w:r>
          </w:p>
        </w:tc>
      </w:tr>
      <w:tr>
        <w:trPr>
          <w:trHeight w:val="264"/>
        </w:trPr>
        <w:tc>
          <w:tcPr>
            <w:tcW w:w="97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r>
      <w:tr>
        <w:trPr>
          <w:trHeight w:val="23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18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51.0</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39.3</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116.5</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85.2</w:t>
            </w:r>
          </w:p>
        </w:tc>
      </w:tr>
      <w:tr>
        <w:trPr>
          <w:trHeight w:val="33"/>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center"/>
              <w:ind w:right="41"/>
              <w:spacing w:after="0"/>
              <w:rPr>
                <w:sz w:val="20"/>
                <w:szCs w:val="20"/>
                <w:color w:val="auto"/>
              </w:rPr>
            </w:pPr>
            <w:r>
              <w:rPr>
                <w:rFonts w:ascii="Arial" w:cs="Arial" w:eastAsia="Arial" w:hAnsi="Arial"/>
                <w:sz w:val="14"/>
                <w:szCs w:val="14"/>
                <w:b w:val="1"/>
                <w:bCs w:val="1"/>
                <w:color w:val="auto"/>
                <w:w w:val="93"/>
              </w:rPr>
              <w:t>Three Months Ended October 31, 2015</w:t>
            </w:r>
          </w:p>
        </w:tc>
        <w:tc>
          <w:tcPr>
            <w:tcW w:w="120" w:type="dxa"/>
            <w:vAlign w:val="bottom"/>
          </w:tcPr>
          <w:p>
            <w:pPr>
              <w:spacing w:after="0"/>
              <w:rPr>
                <w:sz w:val="16"/>
                <w:szCs w:val="16"/>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Three Months Ended October 31, 2014</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120" w:type="dxa"/>
            <w:vAlign w:val="bottom"/>
            <w:vMerge w:val="restart"/>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 (1)</w:t>
            </w:r>
          </w:p>
        </w:tc>
        <w:tc>
          <w:tcPr>
            <w:tcW w:w="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 (1)</w:t>
            </w:r>
          </w:p>
        </w:tc>
        <w:tc>
          <w:tcPr>
            <w:tcW w:w="10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29%</w:t>
            </w:r>
          </w:p>
        </w:tc>
        <w:tc>
          <w:tcPr>
            <w:tcW w:w="1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29 - 30%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0.2 - 0.7%</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0.0 - 0.6%</w:t>
            </w:r>
          </w:p>
        </w:tc>
        <w:tc>
          <w:tcPr>
            <w:tcW w:w="0" w:type="dxa"/>
            <w:vAlign w:val="bottom"/>
          </w:tcPr>
          <w:p>
            <w:pPr>
              <w:spacing w:after="0"/>
              <w:rPr>
                <w:sz w:val="1"/>
                <w:szCs w:val="1"/>
                <w:color w:val="auto"/>
              </w:rPr>
            </w:pPr>
          </w:p>
        </w:tc>
      </w:tr>
      <w:tr>
        <w:trPr>
          <w:trHeight w:val="297"/>
        </w:trPr>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center"/>
              <w:ind w:right="41"/>
              <w:spacing w:after="0"/>
              <w:rPr>
                <w:sz w:val="20"/>
                <w:szCs w:val="20"/>
                <w:color w:val="auto"/>
              </w:rPr>
            </w:pPr>
            <w:r>
              <w:rPr>
                <w:rFonts w:ascii="Arial" w:cs="Arial" w:eastAsia="Arial" w:hAnsi="Arial"/>
                <w:sz w:val="14"/>
                <w:szCs w:val="14"/>
                <w:b w:val="1"/>
                <w:bCs w:val="1"/>
                <w:color w:val="auto"/>
                <w:w w:val="93"/>
              </w:rPr>
              <w:t>Nine Months Ended October 31, 2015</w:t>
            </w:r>
          </w:p>
        </w:tc>
        <w:tc>
          <w:tcPr>
            <w:tcW w:w="120" w:type="dxa"/>
            <w:vAlign w:val="bottom"/>
          </w:tcPr>
          <w:p>
            <w:pPr>
              <w:spacing w:after="0"/>
              <w:rPr>
                <w:sz w:val="24"/>
                <w:szCs w:val="24"/>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Nine Months Ended October 31, 2014</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Unit</w:t>
            </w:r>
          </w:p>
        </w:tc>
        <w:tc>
          <w:tcPr>
            <w:tcW w:w="160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27%</w:t>
            </w:r>
          </w:p>
        </w:tc>
        <w:tc>
          <w:tcPr>
            <w:tcW w:w="14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28 - 29%</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29 - 33%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0.2%</w:t>
            </w:r>
          </w:p>
        </w:tc>
        <w:tc>
          <w:tcPr>
            <w:tcW w:w="1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0.1 - 0.7%</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0.0 - 0.6%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-1753870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-1410335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-664210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-321310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080" w:space="720"/>
            <w:col w:w="6620"/>
          </w:cols>
          <w:pgMar w:left="240" w:top="584" w:right="2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Autodesk did not grant PSUs in the three months ended October 31, 2015 and 2014 that were subject to market conditions.</w:t>
      </w:r>
    </w:p>
    <w:p>
      <w:pPr>
        <w:spacing w:after="0" w:line="20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Autodesk's income tax expense was $21.3 million and $293.5 million for the three and nine months ended October 31, 2015, respectively, relative to a pre-tax loss of $22.5 million and pre-tax income of $0.2 million, respectively, for the same periods. For the nine months ended October 31, 2015, tax expense consists primarily of foreign taxes and changes to valuation allowances, including a $230.8 million valuation allowance against the Company’s U.S. federal and remaining state deferred tax assets recorded during the three months ended July 31, 2015.</w:t>
      </w:r>
    </w:p>
    <w:p>
      <w:pPr>
        <w:spacing w:after="0" w:line="187"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more-likely-than-not that some or all of the deferred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type w:val="continuous"/>
        </w:sectPr>
      </w:pPr>
    </w:p>
    <w:bookmarkStart w:id="18" w:name="page19"/>
    <w:bookmarkEnd w:id="18"/>
    <w:p>
      <w:pPr>
        <w:ind w:right="120"/>
        <w:spacing w:after="0" w:line="272" w:lineRule="auto"/>
        <w:rPr>
          <w:sz w:val="20"/>
          <w:szCs w:val="20"/>
          <w:color w:val="auto"/>
        </w:rPr>
      </w:pPr>
      <w:r>
        <w:rPr>
          <w:rFonts w:ascii="Arial" w:cs="Arial" w:eastAsia="Arial" w:hAnsi="Arial"/>
          <w:sz w:val="17"/>
          <w:szCs w:val="17"/>
          <w:color w:val="auto"/>
        </w:rPr>
        <w:t>assets will not be realized. In evaluating the need for a valuation allowance, Autodesk considered recent cumulative losses in the United States arising from the Company's business model transition as a significant piece of negative evidence. As a result, Autodesk previously established a valuation allowance against the Company’s deferred tax assets in the three months ended July 31, 2015. In the course of preparing the consolidated financial statements for the three months ended October 31, 2015, Autodesk determined that it had understated income tax expense by $33.1 million for the three and six months ended July 31, 2015, primarily related to an error in the establishment of the valuation allowance, which had been understated at July 31, 2015. Autodesk evaluated the materiality of the error, quantitatively and qualitatively, and concluded it was not material to the Company’s condensed consolidated financial statements as of July 31, 2015 or for the three and six month periods ended July 31, 2015.</w:t>
      </w:r>
    </w:p>
    <w:p>
      <w:pPr>
        <w:spacing w:after="0" w:line="178"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However, in light of the significance of a correction of the error to the results for the three months ended October 31, 2015, Autodesk chose to correct the error by revising the previously reported results for the three and six months ended July 31, 2015, to include the additional $33.1 million of income tax expense primarily related to the establishment of the valuation allowance.</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summarizes the impact of adjusting the condensed consolidated income statement balances presented for the three and six months ended July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As previously reported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As adjusted</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2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 July 31, 2015</w:t>
            </w:r>
          </w:p>
        </w:tc>
        <w:tc>
          <w:tcPr>
            <w:tcW w:w="28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July 31, 2015</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(268.6)</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44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 Ended July 31, 2015</w:t>
            </w:r>
          </w:p>
        </w:tc>
        <w:tc>
          <w:tcPr>
            <w:tcW w:w="28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24"/>
                <w:szCs w:val="24"/>
                <w:color w:val="auto"/>
              </w:rPr>
            </w:pPr>
          </w:p>
        </w:tc>
        <w:tc>
          <w:tcPr>
            <w:tcW w:w="214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Six Months Ended July 31, 2015</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(249.5)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impact of adjusting the Condensed Consolidated Balance Sheet balances as of July 31,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1"/>
              </w:rPr>
              <w:t>As previously reported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1"/>
                <w:szCs w:val="21"/>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July 31, 2015</w:t>
            </w:r>
          </w:p>
        </w:tc>
        <w:tc>
          <w:tcPr>
            <w:tcW w:w="28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420" w:type="dxa"/>
            <w:vAlign w:val="bottom"/>
          </w:tcPr>
          <w:p>
            <w:pPr>
              <w:spacing w:after="0"/>
              <w:rPr>
                <w:sz w:val="21"/>
                <w:szCs w:val="21"/>
                <w:color w:val="auto"/>
              </w:rPr>
            </w:pPr>
          </w:p>
        </w:tc>
        <w:tc>
          <w:tcPr>
            <w:tcW w:w="1860" w:type="dxa"/>
            <w:vAlign w:val="bottom"/>
          </w:tcPr>
          <w:p>
            <w:pPr>
              <w:jc w:val="right"/>
              <w:ind w:right="655"/>
              <w:spacing w:after="0"/>
              <w:rPr>
                <w:sz w:val="20"/>
                <w:szCs w:val="20"/>
                <w:color w:val="auto"/>
              </w:rPr>
            </w:pPr>
            <w:r>
              <w:rPr>
                <w:rFonts w:ascii="Arial" w:cs="Arial" w:eastAsia="Arial" w:hAnsi="Arial"/>
                <w:sz w:val="14"/>
                <w:szCs w:val="14"/>
                <w:b w:val="1"/>
                <w:bCs w:val="1"/>
                <w:color w:val="auto"/>
              </w:rPr>
              <w:t>July 31, 2015</w:t>
            </w:r>
          </w:p>
        </w:tc>
      </w:tr>
      <w:tr>
        <w:trPr>
          <w:trHeight w:val="250"/>
        </w:trPr>
        <w:tc>
          <w:tcPr>
            <w:tcW w:w="20" w:type="dxa"/>
            <w:vAlign w:val="bottom"/>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tax liabilities (1)</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Accrued income taxes</w:t>
            </w:r>
          </w:p>
        </w:tc>
        <w:tc>
          <w:tcPr>
            <w:tcW w:w="280" w:type="dxa"/>
            <w:vAlign w:val="bottom"/>
          </w:tcPr>
          <w:p>
            <w:pPr>
              <w:spacing w:after="0"/>
              <w:rPr>
                <w:sz w:val="21"/>
                <w:szCs w:val="21"/>
                <w:color w:val="auto"/>
              </w:rPr>
            </w:pP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22.9</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54.0</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Long term income tax payable</w:t>
            </w:r>
          </w:p>
        </w:tc>
        <w:tc>
          <w:tcPr>
            <w:tcW w:w="280" w:type="dxa"/>
            <w:vAlign w:val="bottom"/>
          </w:tcPr>
          <w:p>
            <w:pPr>
              <w:spacing w:after="0"/>
              <w:rPr>
                <w:sz w:val="21"/>
                <w:szCs w:val="21"/>
                <w:color w:val="auto"/>
              </w:rPr>
            </w:pP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160.2</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131.3</w:t>
            </w:r>
          </w:p>
        </w:tc>
      </w:tr>
      <w:tr>
        <w:trPr>
          <w:trHeight w:val="22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176"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cumulative valuation allowances against U.S. federal and state deferred tax were $312.3 million and $26.7 million at October 31, 2015 and January 31, 2015, respectively.</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October 31, 2015, the Company had $254.0 million of gross unrecognized tax benefits, excluding interest, of which approximately $236.6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left="360" w:hanging="352"/>
        <w:spacing w:after="0"/>
        <w:tabs>
          <w:tab w:leader="none" w:pos="3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the nine months ended October 31, 2015, Autodesk completed several business combinations and technology acquisitions for total cash consideration of approximately $105.0 million. Pro forma results of operations have not been presented because the effects of the acquisitions, individually and in the aggregate, were not material to Autodesk’s Condensed Consolidated Financial Statements.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nine months ended October 31,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w w:val="93"/>
              </w:rPr>
              <w:t>October 31,</w:t>
            </w:r>
          </w:p>
        </w:tc>
      </w:tr>
      <w:tr>
        <w:trPr>
          <w:trHeight w:val="192"/>
        </w:trPr>
        <w:tc>
          <w:tcPr>
            <w:tcW w:w="10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r>
      <w:tr>
        <w:trPr>
          <w:trHeight w:val="236"/>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12.8</w:t>
            </w:r>
          </w:p>
        </w:tc>
      </w:tr>
      <w:tr>
        <w:trPr>
          <w:trHeight w:val="33"/>
        </w:trPr>
        <w:tc>
          <w:tcPr>
            <w:tcW w:w="10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63.4</w:t>
            </w:r>
          </w:p>
        </w:tc>
      </w:tr>
      <w:tr>
        <w:trPr>
          <w:trHeight w:val="33"/>
        </w:trPr>
        <w:tc>
          <w:tcPr>
            <w:tcW w:w="10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10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0.5</w:t>
            </w:r>
          </w:p>
        </w:tc>
      </w:tr>
      <w:tr>
        <w:trPr>
          <w:trHeight w:val="244"/>
        </w:trPr>
        <w:tc>
          <w:tcPr>
            <w:tcW w:w="1040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105.0</w:t>
            </w:r>
          </w:p>
        </w:tc>
      </w:tr>
      <w:tr>
        <w:trPr>
          <w:trHeight w:val="20"/>
        </w:trPr>
        <w:tc>
          <w:tcPr>
            <w:tcW w:w="10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certain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2015</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r>
      <w:tr>
        <w:trPr>
          <w:trHeight w:val="223"/>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565.3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538.4</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348.9</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931.2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887.3</w:t>
            </w: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(715.4)</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171.9</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“Other assets” in the accompanying Condensed Consolidated Balance Sheets.</w:t>
      </w:r>
    </w:p>
    <w:p>
      <w:pPr>
        <w:spacing w:after="0" w:line="32" w:lineRule="exact"/>
        <w:rPr>
          <w:rFonts w:ascii="Arial" w:cs="Arial" w:eastAsia="Arial" w:hAnsi="Arial"/>
          <w:sz w:val="14"/>
          <w:szCs w:val="14"/>
          <w:color w:val="auto"/>
        </w:rPr>
      </w:pPr>
    </w:p>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by reporting unit during the nine months ended October 31,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Platform</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Media 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Emerging</w:t>
            </w: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Delcam (1)</w:t>
            </w: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Entertainment</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2015</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1,605.4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1,456.2</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20"/>
        </w:trPr>
        <w:tc>
          <w:tcPr>
            <w:tcW w:w="3440" w:type="dxa"/>
            <w:vAlign w:val="bottom"/>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tcPr>
          <w:p>
            <w:pPr>
              <w:ind w:left="540"/>
              <w:spacing w:after="0"/>
              <w:rPr>
                <w:sz w:val="20"/>
                <w:szCs w:val="20"/>
                <w:color w:val="auto"/>
              </w:rPr>
            </w:pPr>
            <w:r>
              <w:rPr>
                <w:rFonts w:ascii="Arial" w:cs="Arial" w:eastAsia="Arial" w:hAnsi="Arial"/>
                <w:sz w:val="16"/>
                <w:szCs w:val="16"/>
                <w:color w:val="auto"/>
                <w:w w:val="91"/>
              </w:rPr>
              <w:t>purchase accounting adjustments, and other</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October 31, 2015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359.2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429.2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438.1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1,664.2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359.2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429.2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438.1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1,515.0</w:t>
            </w:r>
          </w:p>
        </w:tc>
        <w:tc>
          <w:tcPr>
            <w:tcW w:w="0" w:type="dxa"/>
            <w:vAlign w:val="bottom"/>
          </w:tcPr>
          <w:p>
            <w:pPr>
              <w:spacing w:after="0"/>
              <w:rPr>
                <w:sz w:val="1"/>
                <w:szCs w:val="1"/>
                <w:color w:val="auto"/>
              </w:rPr>
            </w:pPr>
          </w:p>
        </w:tc>
      </w:tr>
      <w:tr>
        <w:trPr>
          <w:trHeight w:val="33"/>
        </w:trPr>
        <w:tc>
          <w:tcPr>
            <w:tcW w:w="3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Delcam is a separate reporting unit within our Manufacturing ("MFG") operating segment.</w:t>
      </w:r>
    </w:p>
    <w:p>
      <w:pPr>
        <w:spacing w:after="0" w:line="20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Goodwill consists of the excess of consideration transferred over the fair value of net assets acquired in business combinations. Autodesk assigns goodwill to the reporting unit associated with each business combination, and tests goodwill for impairment annually in its fourth fiscal quarter or more often if circumstances indicate a potential impairment. The company has established reporting units based upon its current reporting structure.</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93"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October 31, 2015, Autodesk had marketable securities totaling $1.5 billion, of which $44.0 million related to investments in debt and equity securities that are held in a rabbi trust under non-qualified deferred compensation plans. The total related deferred compensation liability was $44.0 million at October 31, 2015, of which $5.2 million was classified as current and $38.8 million was classified as non-current liabilities. The total related deferred compensation liability at January 31, 2015 was $40.3 million, of which $5.3 million was classified as current and $35.0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2015</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84.9</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53.0</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(349.0)</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$754.1 million as of October 31, 2015.</w:t>
      </w:r>
    </w:p>
    <w:p>
      <w:pPr>
        <w:spacing w:after="0" w:line="163"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Autodesk may redeem the 2012 Notes at any time, subject to a make whole premium. In addition, upon the occurrence of certain change of control triggering events, Autodesk may be required to repurchase the 2012 Notes at a price equal to 101% of their principal amount, plus accrued and unpaid interest to the date of repurchase. The 2012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2012 Notes was approximately $749.7 million as of October 31, 2015.</w:t>
      </w:r>
    </w:p>
    <w:p>
      <w:pPr>
        <w:spacing w:after="0" w:line="167"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180"/>
        <w:spacing w:after="0" w:line="259" w:lineRule="auto"/>
        <w:rPr>
          <w:sz w:val="20"/>
          <w:szCs w:val="20"/>
          <w:color w:val="auto"/>
        </w:rPr>
      </w:pPr>
      <w:r>
        <w:rPr>
          <w:rFonts w:ascii="Arial" w:cs="Arial" w:eastAsia="Arial" w:hAnsi="Arial"/>
          <w:sz w:val="18"/>
          <w:szCs w:val="18"/>
          <w:color w:val="auto"/>
        </w:rPr>
        <w:t>ratio. The line of credit is syndicated with various financial institutions, including Citibank, N.A., an affiliate of Citigroup, which is one of the lead lenders and an agent. In May 2015, Autodesk amended and restated the credit agreement to extend the facility's maturity date from May 2018 to May 2020 and to amend the financial covenants. At October 31, 2015, Autodesk was in compliance with the credit facility's covenants and had no outstanding borrowings on this line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fiscal 2014, the Board of Directors approved a world-wide restructuring plan in order to re-balance staffing levels to better align them with the evolving needs of the business. The restructuring plan included a reduction of approximately 85 positions and the consolidation of four leased facilities, with a total cost of approximately $15.0 million ("Fiscal 2014 Plan"). By July 31, 2014, the personnel and facilities related actions included in this restructuring plan were substantially complete.</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Autodesk did not record restructuring charges during the nine months ended October 31, 2015. The following table sets forth the restructuring activities during the nine months ended October 31,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Balance at October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Current portion (2)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t>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and nine months ended October 31, 2015, Autodesk repurchased and retired 3.2 million and 6.9 million shares at an average repurchase price of $46.33 and $51.59 per share, respectively. Common stock and additional paid-in capital and retained earnings were reduced by $72.2 million and $77.8 million, respectively, during the three months ended October 31, 2015. Common stock and additional paid-in capital and retained earnings were reduced by $161.3 million and $196.4 million, respectively, during the nine months ended October 31, 2015.</w:t>
      </w:r>
    </w:p>
    <w:p>
      <w:pPr>
        <w:spacing w:after="0" w:line="16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At October 31, 2015, 7.9 million shares remained available for repurchase under the repurchase program approved by the Board of Directors. During the nine months ended October 31, 2015,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October 31,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October 31, 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year ended January 31,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Income Per Share</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net (loss) income per share is computed using the weighted average number of shares of common stock outstanding for the period, excluding stock options and restricted stock units. Diluted net (loss)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income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6"/>
                <w:szCs w:val="16"/>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basic net (loss) income per share—weighted average shares</w:t>
            </w:r>
          </w:p>
        </w:tc>
        <w:tc>
          <w:tcPr>
            <w:tcW w:w="160" w:type="dxa"/>
            <w:vAlign w:val="bottom"/>
          </w:tcPr>
          <w:p>
            <w:pPr>
              <w:spacing w:after="0"/>
              <w:rPr>
                <w:sz w:val="20"/>
                <w:szCs w:val="20"/>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dilutive net (loss) income per share</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income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40" w:hanging="412"/>
        <w:spacing w:after="0" w:line="296" w:lineRule="auto"/>
        <w:tabs>
          <w:tab w:leader="none" w:pos="4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effect of dilutive securities of 3.4 million and 4.0 million shares for the three and nine months ended October 31, 2015, respectively, have been excluded from the calculation of diluted net (loss) income per share as those shares would have been anti-dilutive due to the net (loss) incurred during those periods.</w:t>
      </w:r>
    </w:p>
    <w:p>
      <w:pPr>
        <w:spacing w:after="0" w:line="15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computation of diluted net (loss) income per share does not include shares that are anti-dilutive under the treasury stock method because their exercise prices are higher than the average market value of Autodesk’s stock during the period. For the three and nine months ended October 31, 2015, 0.6 million and 0.1 million potentially anti-dilutive shares, respectively, were excluded from the computation of diluted net (loss) income per share. For both the three and nine months ended October 31, 2014, no potentially anti-dilutive shares were excluded from the computation of diluted net income per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AEC, MFG, Platform Solutions and Emerging Business ("PSEB"), and Media and Entertainment ("M&amp;E"). Autodesk has no material inter-segment revenue.</w:t>
      </w:r>
    </w:p>
    <w:p>
      <w:pPr>
        <w:spacing w:after="0" w:line="14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AEC, MFG, and PSEB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Infrastructure Design Suites, AutoCAD Civil 3D, AutoCAD Map 3D, and AutoCAD Architecture.</w:t>
      </w:r>
    </w:p>
    <w:p>
      <w:pPr>
        <w:spacing w:after="0" w:line="19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revenue primarily includes revenue from the sales of licenses of Autodesk Product Design Suites, Autodesk Delcam products, AutoCAD Mechanical, and Autodesk Moldflow products.</w:t>
      </w:r>
    </w:p>
    <w:p>
      <w:pPr>
        <w:spacing w:after="0" w:line="170"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6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AutoCAD Design Suite and many other design products, including consumer design products, as well as from sales of licenses of other Autodesk's design products.</w:t>
      </w:r>
    </w:p>
    <w:p>
      <w:pPr>
        <w:spacing w:after="0" w:line="1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Autodesk Entertainment Creation Suites, and Autodesk Shotgun products provide tools for digital sculpting, modeling, animation, effects, rendering and compositing, for design visualization, visual effects and games production. M&amp;E products are also included in a number of PSEB, AEC, and MFG focused suites. Creative Finishing products, such as Autodesk Flame, Autodesk Smoke, Autodesk Flare, and Autodesk Lustre, provide editing, finishing and visual effects design and color grading.</w:t>
      </w:r>
    </w:p>
    <w:p>
      <w:pPr>
        <w:spacing w:after="0" w:line="18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2015. Autodesk evaluates each segment’s performance on the basis of gross profit. Autodesk currently does not separately accumulate and report asset information by segment, except for goodwill, which is disclosed in Note 9, “Goodwill.”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Nine Months Ended October</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2"/>
              </w:rPr>
              <w:t>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224.9</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695.0</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630.5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607.8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599.8</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618.0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1,855.8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1,847.6</w:t>
            </w:r>
          </w:p>
        </w:tc>
        <w:tc>
          <w:tcPr>
            <w:tcW w:w="0" w:type="dxa"/>
            <w:vAlign w:val="bottom"/>
          </w:tcPr>
          <w:p>
            <w:pPr>
              <w:spacing w:after="0"/>
              <w:rPr>
                <w:sz w:val="1"/>
                <w:szCs w:val="1"/>
                <w:color w:val="auto"/>
              </w:rPr>
            </w:pPr>
          </w:p>
        </w:tc>
      </w:tr>
      <w:tr>
        <w:trPr>
          <w:trHeight w:val="73"/>
        </w:trPr>
        <w:tc>
          <w:tcPr>
            <w:tcW w:w="76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194.3</w:t>
            </w: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628.5</w:t>
            </w:r>
          </w:p>
        </w:tc>
        <w:tc>
          <w:tcPr>
            <w:tcW w:w="3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566.0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135.9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437.7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543.6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Unallocated (1)</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508.8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w:t>
            </w:r>
          </w:p>
        </w:tc>
        <w:tc>
          <w:tcPr>
            <w:tcW w:w="3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1,595.0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00" w:hanging="412"/>
        <w:spacing w:after="0" w:line="263"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Nine Months Ended October</w:t>
            </w:r>
          </w:p>
        </w:tc>
      </w:tr>
      <w:tr>
        <w:trPr>
          <w:trHeight w:val="192"/>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r>
      <w:tr>
        <w:trPr>
          <w:trHeight w:val="21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24"/>
        </w:trPr>
        <w:tc>
          <w:tcPr>
            <w:tcW w:w="766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589.7</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543.4</w:t>
            </w: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40.2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116.4</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659.8</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225.1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238.2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696.2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707.2</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Japan</w:t>
            </w: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49.0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215.1</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265.5</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138.9</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480.6</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599.8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1,855.8</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Subsequent Events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On September 23, 2015, Autodesk entered into a share purchase agreement with FIT AG (“FIT”) to acquire all of the outstanding shares of netfabb GmbH (“netfabb”) for €39.6 million (approximately $42.5 million) cash consideration. Autodesk simultaneously entered into an investment agreement with FIT for Autodesk to invest €25.5 million (approximately $27.4 million) cash to acquire an equity interest in FIT. The netfabb acquisition and FIT investment transactions closed on November 12, 2015. netfabb is a Germany-based provider of industrial grade additive manufacturing software solutions supporting most major 3D printers. FIT is a German-based provider of rapid prototyping and additive design and manufacturing services. netfabb will be integrated into, and the related goodwill will be assigned to, Autodesk’s PSEB segment. The initial accounting for this acquisition was not complete as of December 9, 2015, due to the timing of the acquisition. Autodesk used its non-U.S.-based cash for the transaction.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Nine Months Ended October 31, 2015” and “Business Outlook” below, anticipated future net revenue, future GAAP and non-GAAP (loss) income per share, operating margin, operating expenses, billings,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mobile and social computing, the effect of unemployment and availability of credit, the effects of mixed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the effects of potential non-cash charges on our financial results and the resulting effect on our financial results. In addition, forward-looking statements also consist of statements involving expectations regarding product capability and acceptance, continuation of our stock repurchase program, remediations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digital artists, professionals, and non-professionals alike—the people who imagine, design, and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For example, Autodesk BIM 360, PLM 360, Fusion 360, and AutoCAD360 Pro, some of our cloud based offerings, provide tools, including mobile and social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right="20" w:firstLine="405"/>
        <w:spacing w:after="0" w:line="255" w:lineRule="auto"/>
        <w:rPr>
          <w:sz w:val="20"/>
          <w:szCs w:val="20"/>
          <w:color w:val="auto"/>
        </w:rPr>
      </w:pPr>
      <w:r>
        <w:rPr>
          <w:rFonts w:ascii="Arial" w:cs="Arial" w:eastAsia="Arial" w:hAnsi="Arial"/>
          <w:sz w:val="18"/>
          <w:szCs w:val="18"/>
          <w:color w:val="auto"/>
        </w:rPr>
        <w:t>Our strategy is to lead the industries we serve to cloud based technologies and business models. This entails both a technological shift and a business model shift. We now have term-based license offerings, including desktop subscriptions, for certain products and flexible enterprise offerings. These offerings are designed to give our customers even more flexibility with how they use our products and service offerings and to address new types of customers such as project-based users and small businesses. As part of this transition, we discontinued upgrades effective March 6, 2015. New commercial seats of most standalone software products will be available only by desktop subscription beginning February 1, 2016. Additionally, we plan to discontinue selling new perpetual licenses of suites effective August 1, 2016.</w:t>
      </w:r>
    </w:p>
    <w:p>
      <w:pPr>
        <w:spacing w:after="0" w:line="1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With the announcement to discontinue the sale of most perpetual licenses, we are accelerating our transition away from selling a hybrid of perpetual licenses and term-based offerings toward a single subscription model. During the transition, billings, revenue, gross margin, operating margin, EPS, deferred revenue, and cash flow from operations will be impacted as more revenue is recognized ratably rather than up front and as new offerings bring a wider variety of price points.</w:t>
      </w:r>
    </w:p>
    <w:p>
      <w:pPr>
        <w:spacing w:after="0" w:line="18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As we progress through the business model transition, billings and reported revenue will become less relevant to measure the success of the business as perpetual license sales are discontinued in favor of subscription offerings, which have considerably lower up-front prices. Annualized recurring revenue ("ARR") and annualized revenue per subscription ("ARPS") will better reflect business momentum and provide additional transparency into the transition. To further analyze progress, we will also disaggregate our growth in these metrics between the original maintenance subscription model ("maintenance") and the new desktop, cloud and mobile, and enterprise flexible license agreements ("new model"). We expect maintenance subscriptions to peak as perpetual license sales end in the second quarter of fiscal 2017 and decline slowly over time as customers migrate to the new model. ARR and ARPS are performance metrics and should be viewed independently of revenue, deferred revenue and net billings as ARR and ARPS are not intended to be combined with any of these items.</w:t>
      </w:r>
    </w:p>
    <w:p>
      <w:pPr>
        <w:spacing w:after="0" w:line="192"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Another key element of our growth strategy is increasing our global penetration. Much of the growth in the world’s construction and manufacturing is happening in emerging economies. Emerging economies face many of the challenges that our design technology can help address, including infrastructure build-out and innovative design and manufacturing. However, conducting business in these countries presents significant challenges, including economic volatility, geopolitical risk, local competition, limited intellectual property protection, poorly developed business infrastructure, scarcity of talent, software piracy, and different purchase patterns as compared to the developed world. We believe that our move to the new model increases the number of potential markets for Autodesk. By connecting all of the participants in the process of designing and making things, we can sell new offerings into the construction and manufacturing spaces. Revenue from emerging countries decreased 8% and remained flat during the three and nine months ended October 31, 2015, respectively, as compared to the same periods in the prior fiscal year. Revenue from emerging economies represented 15% of our total revenue for all periods presented.</w:t>
      </w:r>
    </w:p>
    <w:p>
      <w:pPr>
        <w:spacing w:after="0" w:line="19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9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licenses of Autodesk</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software worldwide to students, educators, and educational institutions. In fiscal 2016, we initiated Project Ignite, a free and open learning platform delivering a unique package of technology, learning content, and services created specifically for the classroom. The Project Ignite learning platform additionally offers classroom bundles, which include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right="20"/>
        <w:spacing w:after="0" w:line="297" w:lineRule="auto"/>
        <w:rPr>
          <w:sz w:val="20"/>
          <w:szCs w:val="20"/>
          <w:color w:val="auto"/>
        </w:rPr>
      </w:pPr>
      <w:r>
        <w:rPr>
          <w:rFonts w:ascii="Arial" w:cs="Arial" w:eastAsia="Arial" w:hAnsi="Arial"/>
          <w:sz w:val="16"/>
          <w:szCs w:val="16"/>
          <w:color w:val="auto"/>
        </w:rPr>
        <w:t>hardware such as 3D printers and electronics kits along with professional development and training services to help educators.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Beginning in the second quarter of fiscal 2016, we have also made Autodesk Design Academy curricula available on iTunes U. Our intention is to make Autodesk software ubiquitous and the design software of choice for those poised to become the next generation of professional users.</w:t>
      </w:r>
    </w:p>
    <w:p>
      <w:pPr>
        <w:spacing w:after="0" w:line="158"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2015. In addition, we highlighted those policies that involve a higher degree of judgment and complexity with further discussion in Item 7, “Management’s Discussion and Analysis of Financial Condition and Results of Operations” in our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2015 and 2014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340" w:type="dxa"/>
            <w:vAlign w:val="bottom"/>
          </w:tcPr>
          <w:p>
            <w:pPr>
              <w:jc w:val="center"/>
              <w:ind w:left="36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October 31, 2015</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October 31, 2014</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599.8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618.0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86.0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508.8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532.0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517.4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53"/>
        </w:trPr>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left="368"/>
              <w:spacing w:after="0" w:line="153" w:lineRule="exact"/>
              <w:rPr>
                <w:sz w:val="20"/>
                <w:szCs w:val="20"/>
                <w:color w:val="auto"/>
              </w:rPr>
            </w:pPr>
            <w:r>
              <w:rPr>
                <w:rFonts w:ascii="Arial" w:cs="Arial" w:eastAsia="Arial" w:hAnsi="Arial"/>
                <w:sz w:val="14"/>
                <w:szCs w:val="14"/>
                <w:b w:val="1"/>
                <w:bCs w:val="1"/>
                <w:color w:val="auto"/>
                <w:w w:val="96"/>
              </w:rPr>
              <w:t>As a % of Net</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jc w:val="center"/>
              <w:ind w:right="82"/>
              <w:spacing w:after="0" w:line="153" w:lineRule="exact"/>
              <w:rPr>
                <w:sz w:val="20"/>
                <w:szCs w:val="20"/>
                <w:color w:val="auto"/>
              </w:rPr>
            </w:pPr>
            <w:r>
              <w:rPr>
                <w:rFonts w:ascii="Arial" w:cs="Arial" w:eastAsia="Arial" w:hAnsi="Arial"/>
                <w:sz w:val="14"/>
                <w:szCs w:val="14"/>
                <w:b w:val="1"/>
                <w:bCs w:val="1"/>
                <w:color w:val="auto"/>
                <w:w w:val="93"/>
              </w:rPr>
              <w:t>Nine Months Ended</w:t>
            </w: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3"/>
              </w:rPr>
              <w:t>As a % of Net</w:t>
            </w:r>
          </w:p>
        </w:tc>
      </w:tr>
      <w:tr>
        <w:trPr>
          <w:trHeight w:val="198"/>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ind w:right="82"/>
              <w:spacing w:after="0"/>
              <w:rPr>
                <w:sz w:val="20"/>
                <w:szCs w:val="20"/>
                <w:color w:val="auto"/>
              </w:rPr>
            </w:pPr>
            <w:r>
              <w:rPr>
                <w:rFonts w:ascii="Arial" w:cs="Arial" w:eastAsia="Arial" w:hAnsi="Arial"/>
                <w:sz w:val="14"/>
                <w:szCs w:val="14"/>
                <w:b w:val="1"/>
                <w:bCs w:val="1"/>
                <w:color w:val="auto"/>
                <w:w w:val="92"/>
              </w:rPr>
              <w:t>October 31, 2015</w:t>
            </w:r>
          </w:p>
        </w:tc>
        <w:tc>
          <w:tcPr>
            <w:tcW w:w="12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b w:val="1"/>
                <w:bCs w:val="1"/>
                <w:color w:val="auto"/>
                <w:w w:val="89"/>
              </w:rPr>
              <w:t>Revenue</w:t>
            </w: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92"/>
              </w:rPr>
              <w:t>October 31, 2014</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1,855.8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8"/>
              </w:rPr>
              <w:t>100 %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1,847.6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275.8</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252.6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1,580.0</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1,595.0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1,569.0</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1,488.3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44"/>
        </w:trPr>
        <w:tc>
          <w:tcPr>
            <w:tcW w:w="416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106.7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During the three months ended October 31, 2015, as compared to the same period in the prior fiscal year, net revenue, gross profit and (loss) income from operations decreased 3%, 4% and 201%, respectively. During the nine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right="560"/>
        <w:spacing w:after="0" w:line="277" w:lineRule="auto"/>
        <w:rPr>
          <w:sz w:val="20"/>
          <w:szCs w:val="20"/>
          <w:color w:val="auto"/>
        </w:rPr>
      </w:pPr>
      <w:r>
        <w:rPr>
          <w:rFonts w:ascii="Arial" w:cs="Arial" w:eastAsia="Arial" w:hAnsi="Arial"/>
          <w:sz w:val="18"/>
          <w:szCs w:val="18"/>
          <w:color w:val="auto"/>
        </w:rPr>
        <w:t>October 31, 2015, as compared to the same period in the prior fiscal year, net revenue remained flat, while gross profit decreased 1% and income from operations decreased 90%.</w:t>
      </w:r>
    </w:p>
    <w:p>
      <w:pPr>
        <w:spacing w:after="0" w:line="17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Stemming from the business model transition, our business experienced mixed results year-over-year as license and other revenue decreased and subscription revenue increased year-over-year during both the three and nine months ended October 31, 2015. Areas of growth year-over-year included increases in our Architecture, Engineering, and Construction ("AEC") segment, highlighted by an increase in our flexible enterprise offerings as well as our Building Design and Infrastructure Design Suites, our Manufacturing ("MFG") business segment driven by growth in Delcam, and the Americas geographic area. Offsetting these areas of growth were year-over-year declines in our Platform Solutions and Emerging Business (“PSEB”) segment, many of our major products, particularly AutoCAD LT, and Europe, the Middle East and Africa ("EMEA") geographic area.</w:t>
      </w:r>
    </w:p>
    <w:p>
      <w:pPr>
        <w:spacing w:after="0" w:line="17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Loss from operations during the three and nine months ended October 31, 2015 was negatively impacted by increased spend primarily from higher employee-related and cloud-related costs.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drivers of these results are discussed below under the heading “Results from Operations.”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Revenue from flagship products was 45% of net revenue during both the three and nine months ended October 31, 2015. Revenue from flagship products decreased 7% and 6% during the three and nine months ended October 31, 2015, respectively, as compared to the same periods in the prior fiscal year. Revenue from suites was 36% and 37% of net revenue for the three and nine months ended October 31, 2015, respectively. Revenue from suites decreased 3% and increased 3% for the three and nine months ended October 31, 2015, respectively, as compared to the same periods in the prior fiscal year. Revenue from new and adjacent products was 19% and 18% of net revenue for the three and nine months ended October 31, 2015, respectively. Revenue from new and adjacent products increased 9% and 16% for the three and nine months ended October 31, 2015, respectively, as compared to the same periods in the prior fiscal year.</w:t>
      </w:r>
    </w:p>
    <w:p>
      <w:pPr>
        <w:spacing w:after="0" w:line="18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26% and 25% of Autodesk’s total net revenue for the three and nine months ended October 31, 2015, respectively, as compared to 26% for both the three and nine months ended October 31, 2014.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Income from operations decreased 201% to a loss from operations in the three months ended October 31, 2015 due to an $18.2 million or 3% decrease in net revenue, a $5.0 million or 6% increase in cost of revenue, and an $6.2 million or 1% increase in our operating expenses as compared to the same period in the prior fiscal year. Our operating margin decreased to (2)% for the three months ended October 31, 2015 from 2% for the three months ended October 31, 2014.</w:t>
      </w:r>
    </w:p>
    <w:p>
      <w:pPr>
        <w:spacing w:after="0" w:line="187"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Income from operations decreased 90% to a loss from operations in the nine months ended October 31, 2015 due to an $80.7 million or 5% increase in our operating expenses and a $23.2 million or 9% increase in cost of revenue, as compared to the same period in the prior fiscal year. Our operating margin decreased to 1% for the nine months ended October 31, 2015 from 6% for the nine months ended October 31, 2014.</w:t>
      </w:r>
    </w:p>
    <w:p>
      <w:pPr>
        <w:spacing w:after="0" w:line="166"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increase in operating expenses and the corresponding decrease in operating margin during the three and nine months ended October 31, 2015 were primarily driven by an increase in employee-related costs resulting from an increase in headcount as a result of our continued support of the business model transition.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Model Transition Metrics</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Recurring revenue represents the revenue for the period from our maintenance, desktop, cloud services and enterprise license offerings, including portions of revenue allocated to license &amp; other revenue for those offerings. It excludes revenue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right="140"/>
        <w:spacing w:after="0" w:line="259" w:lineRule="auto"/>
        <w:rPr>
          <w:sz w:val="20"/>
          <w:szCs w:val="20"/>
          <w:color w:val="auto"/>
        </w:rPr>
      </w:pPr>
      <w:r>
        <w:rPr>
          <w:rFonts w:ascii="Arial" w:cs="Arial" w:eastAsia="Arial" w:hAnsi="Arial"/>
          <w:sz w:val="18"/>
          <w:szCs w:val="18"/>
          <w:color w:val="auto"/>
        </w:rPr>
        <w:t>from Autodesk Consulting Services, and subscription revenue related to education offerings, consumer product offerings, certain Creative Finishing product offerings, Autodesk Buzzsaw, Autodesk Constructware, and third party products. Recurring revenue acquired with the acquisition of a business is captured and may cause variability in the comparison of this calculation. Recurring revenue is a statistical measure rather than a non-GAAP measure and is not meant as a substitute for net revenues.</w:t>
      </w:r>
    </w:p>
    <w:p>
      <w:pPr>
        <w:spacing w:after="0" w:line="187"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During the three and nine months ended October 31, 2015 recurring revenue was 56% and 54% of total net revenue, respectively. Comparatively, recurring revenue was 48% and 46% of total net revenue during the three and nine months ended October 31, 2014,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subscriptions, ARR and ARPS metrics as October 31, 2015 and October 31,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vMerge w:val="restart"/>
          </w:tcPr>
          <w:p>
            <w:pPr>
              <w:jc w:val="right"/>
              <w:ind w:right="1100"/>
              <w:spacing w:after="0"/>
              <w:rPr>
                <w:sz w:val="20"/>
                <w:szCs w:val="20"/>
                <w:color w:val="auto"/>
              </w:rPr>
            </w:pPr>
            <w:r>
              <w:rPr>
                <w:rFonts w:ascii="Arial" w:cs="Arial" w:eastAsia="Arial" w:hAnsi="Arial"/>
                <w:sz w:val="14"/>
                <w:szCs w:val="14"/>
                <w:b w:val="1"/>
                <w:bCs w:val="1"/>
                <w:color w:val="auto"/>
              </w:rPr>
              <w:t>Balance at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(Decrease)/Increase compared to</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3"/>
              </w:rPr>
              <w:t>prior fiscal year</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2015</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2014</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6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Subscriptions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New Model Subscriptions</w:t>
            </w: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365.7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Subscriptions</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40"/>
              <w:spacing w:after="0"/>
              <w:rPr>
                <w:sz w:val="20"/>
                <w:szCs w:val="20"/>
                <w:color w:val="auto"/>
              </w:rPr>
            </w:pPr>
            <w:r>
              <w:rPr>
                <w:rFonts w:ascii="Arial" w:cs="Arial" w:eastAsia="Arial" w:hAnsi="Arial"/>
                <w:sz w:val="16"/>
                <w:szCs w:val="16"/>
                <w:color w:val="auto"/>
              </w:rPr>
              <w:t>Maintenance ARR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1,133.2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1,070.7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Model ARR</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Subscriptions ARR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1,354.0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1,181.1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311"/>
        </w:trPr>
        <w:tc>
          <w:tcPr>
            <w:tcW w:w="5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40"/>
              <w:spacing w:after="0"/>
              <w:rPr>
                <w:sz w:val="20"/>
                <w:szCs w:val="20"/>
                <w:color w:val="auto"/>
              </w:rPr>
            </w:pPr>
            <w:r>
              <w:rPr>
                <w:rFonts w:ascii="Arial" w:cs="Arial" w:eastAsia="Arial" w:hAnsi="Arial"/>
                <w:sz w:val="14"/>
                <w:szCs w:val="14"/>
                <w:i w:val="1"/>
                <w:iCs w:val="1"/>
                <w:color w:val="auto"/>
              </w:rPr>
              <w:t>(ARR divided by Subscriptions)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ARPS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New Model ARPS</w:t>
            </w: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ARPS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Year-over-year maintenance subscriptions increased 6% as of October 31, 2015 as compared to the same period in the prior fiscal year. Year-over-year new model subscriptions increased 132% as of October 31, 2015 as compared to the same period in the prior fiscal year, primarily due to 377% growth in desktop license subscriptions over the corresponding period. Also contributing to the overall subscription growth was a lower price mix of products which drove an increase in volume.</w:t>
      </w:r>
    </w:p>
    <w:p>
      <w:pPr>
        <w:spacing w:after="0" w:line="18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Total Subscriptions ARR increased 15% as of October 31, 2015 as compared to the same period in the prior fiscal year primarily due to a 100% increase in New Model ARR driven by desktop license subscriptions and our flexible enterprise offerings. Also contributing to the increase was growth in Maintenance ARR, which increased 6% as compared to the same period in the prior fiscal year.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1% decrease in total ARPS was due to total subscriptions growth exceeding total subscriptions ARR growth.</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generate a significant amount of our revenue in the U.S., Japan, Germany, the United Kingdom, and France. Our revenue was negatively impacted by foreign exchange rate changes during the three and nine months ended October 31, 2015 as compared to the same periods in the prior fiscal year. Had applicable exchange rates from the three and nine months ended October 31, 2014 been in effect during the three and nine months ended October 31, 2015 and had we excluded foreign exchange hedge gains and losses from the three and nine months ended October 31, 2015, net revenue would have increased 2% and 5% on a constant currency basis during the three and nine months ended October 31, 2015, respectively, as compared to the same periods in the prior fiscal year.</w:t>
      </w:r>
    </w:p>
    <w:p>
      <w:pPr>
        <w:spacing w:after="0" w:line="19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Our total spend, defined as cost of revenue plus operating expenses, during the three and nine months ended October 31, 2015 increased 2% and 6%, respectively, on an as reported basis as compared to the same periods in the prior fiscal year. Had applicable exchange rates from the three and nine months ended October 31, 2014 been in effect during the three and nine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right="100"/>
        <w:spacing w:after="0" w:line="308" w:lineRule="auto"/>
        <w:rPr>
          <w:sz w:val="20"/>
          <w:szCs w:val="20"/>
          <w:color w:val="auto"/>
        </w:rPr>
      </w:pPr>
      <w:r>
        <w:rPr>
          <w:rFonts w:ascii="Arial" w:cs="Arial" w:eastAsia="Arial" w:hAnsi="Arial"/>
          <w:sz w:val="17"/>
          <w:szCs w:val="17"/>
          <w:color w:val="auto"/>
        </w:rPr>
        <w:t>months ended October 31, 2015 and had we excluded foreign exchange hedge gains and losses from the three and nine months ended October 31, 2015, total spend would have increased 6% and 10%, respectively, on a constant currency basis compared to the same periods in the prior fiscal year.</w:t>
      </w:r>
    </w:p>
    <w:p>
      <w:pPr>
        <w:spacing w:after="0" w:line="147"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At October 31, 2015, we had $2.8 billion in cash and marketable securities. This amount includes the aggregate net proceeds of $742.0 million, after deducting the underwriting discounts and related offering expenses, from our June 2015 registered underwritten public offering of $450.0 million aggregate principal amount of 3.125% notes due June 15, 2020 and $300.0 million aggregate principal amount of 4.375% notes due June 15, 2025. We completed the nine months ended October 31, 2015 with lower accounts receivable and higher deferred revenue balances as compared to the fiscal year ended January 31, 2015. Our deferred revenue balance at October 31, 2015 was $1.2 billion and included $963.4 million of deferred subscription revenue primarily related to customer maintenance contracts, which will be recognized as revenue ratably over the life of the contracts. The term of our maintenance contracts is typically between one and three years. Our cash flow from operations decreased 46% to $244.1 million for the nine months ended October 31, 2015 compared to $450.9 million for the nine months ended October 31, 2014. We repurchased 3.2 million shares of our common stock for $150.0 million during the three months ended October 31, 2015. Comparatively, we repurchased 1.9 million shares of our common stock for $103.3 million during the three months ended October 31, 2014. We repurchased 6.9 million shares of our common stock for $357.7 million during the nine months ended October 31, 2015. Comparatively, we repurchased 5.8 million shares of our common stock for $307.6 million during the nine months ended October 31, 2014. Further discussion regarding the balance sheet and cash flow activities are discussed below under the heading “Liquidity and Capital Resources.”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Autodesk's business model is evolving. We continue to assess current business offerings including introducing more flexible license and service offerings that have ratable revenue streams. The accounting impact of these offerings and other business decisions are expected to result in an increase in the percentage of our ratable revenue, making for a more predictable business over time, while correspondingly reducing our upfront perpetual revenue stream. Over time, we expect our business model transition to expand our customer base by eliminating higher up-front licensing costs and providing more flexibility in how customers gain access to and pay for our products. We also expect our traditional perpetual license revenue to decline without a corresponding decrease in expenses over the next 12 to 24 months. In the future, we expect this business model transition will increase our ARPS by increasing total subscriptions and ARR over time.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Q4 FY16 Guidance Metrics</w:t>
            </w:r>
          </w:p>
        </w:tc>
        <w:tc>
          <w:tcPr>
            <w:tcW w:w="6080" w:type="dxa"/>
            <w:vAlign w:val="bottom"/>
            <w:gridSpan w:val="2"/>
          </w:tcPr>
          <w:p>
            <w:pPr>
              <w:ind w:left="3620"/>
              <w:spacing w:after="0"/>
              <w:rPr>
                <w:sz w:val="20"/>
                <w:szCs w:val="20"/>
                <w:color w:val="auto"/>
              </w:rPr>
            </w:pPr>
            <w:r>
              <w:rPr>
                <w:rFonts w:ascii="Arial" w:cs="Arial" w:eastAsia="Arial" w:hAnsi="Arial"/>
                <w:sz w:val="14"/>
                <w:szCs w:val="14"/>
                <w:b w:val="1"/>
                <w:bCs w:val="1"/>
                <w:color w:val="auto"/>
              </w:rPr>
              <w:t>Q4 FY16 (ending January 31, 2016)</w:t>
            </w:r>
          </w:p>
        </w:tc>
      </w:tr>
      <w:tr>
        <w:trPr>
          <w:trHeight w:val="24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(in millions)</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$640</w:t>
            </w:r>
          </w:p>
        </w:tc>
      </w:tr>
      <w:tr>
        <w:trPr>
          <w:trHeight w:val="224"/>
        </w:trPr>
        <w:tc>
          <w:tcPr>
            <w:tcW w:w="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6"/>
                <w:szCs w:val="16"/>
                <w:color w:val="auto"/>
              </w:rPr>
              <w:t>EPS GAAP</w:t>
            </w:r>
          </w:p>
        </w:tc>
        <w:tc>
          <w:tcPr>
            <w:tcW w:w="4660" w:type="dxa"/>
            <w:vAlign w:val="bottom"/>
          </w:tcPr>
          <w:p>
            <w:pPr>
              <w:jc w:val="right"/>
              <w:spacing w:after="0"/>
              <w:rPr>
                <w:sz w:val="20"/>
                <w:szCs w:val="20"/>
                <w:color w:val="auto"/>
              </w:rPr>
            </w:pPr>
            <w:r>
              <w:rPr>
                <w:rFonts w:ascii="Arial" w:cs="Arial" w:eastAsia="Arial" w:hAnsi="Arial"/>
                <w:sz w:val="16"/>
                <w:szCs w:val="16"/>
                <w:color w:val="auto"/>
              </w:rPr>
              <w:t>($0.31)</w:t>
            </w:r>
          </w:p>
        </w:tc>
        <w:tc>
          <w:tcPr>
            <w:tcW w:w="1420" w:type="dxa"/>
            <w:vAlign w:val="bottom"/>
          </w:tcPr>
          <w:p>
            <w:pPr>
              <w:ind w:left="20"/>
              <w:spacing w:after="0"/>
              <w:rPr>
                <w:sz w:val="20"/>
                <w:szCs w:val="20"/>
                <w:color w:val="auto"/>
              </w:rPr>
            </w:pPr>
            <w:r>
              <w:rPr>
                <w:rFonts w:ascii="Arial" w:cs="Arial" w:eastAsia="Arial" w:hAnsi="Arial"/>
                <w:sz w:val="16"/>
                <w:szCs w:val="16"/>
                <w:color w:val="auto"/>
              </w:rPr>
              <w:t>- ($0.27)</w:t>
            </w:r>
          </w:p>
        </w:tc>
      </w:tr>
      <w:tr>
        <w:trPr>
          <w:trHeight w:val="33"/>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 Non-GAAP (1)</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$0.12</w:t>
            </w: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_______________</w:t>
            </w:r>
          </w:p>
        </w:tc>
        <w:tc>
          <w:tcPr>
            <w:tcW w:w="46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ind w:right="160" w:firstLine="8"/>
        <w:spacing w:after="0" w:line="297" w:lineRule="auto"/>
        <w:tabs>
          <w:tab w:leader="none" w:pos="2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Non-GAAP earnings per diluted share exclude $0.25 related to stock-based compensation expense and $0.10 for the amortization of acquisition related intangibles, net of tax, and $0.04 related to non-cash GAAP tax charges.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FY16 Guidance Metrics</w:t>
            </w:r>
          </w:p>
        </w:tc>
        <w:tc>
          <w:tcPr>
            <w:tcW w:w="5680" w:type="dxa"/>
            <w:vAlign w:val="bottom"/>
            <w:gridSpan w:val="2"/>
          </w:tcPr>
          <w:p>
            <w:pPr>
              <w:jc w:val="center"/>
              <w:ind w:left="3320"/>
              <w:spacing w:after="0"/>
              <w:rPr>
                <w:sz w:val="20"/>
                <w:szCs w:val="20"/>
                <w:color w:val="auto"/>
              </w:rPr>
            </w:pPr>
            <w:r>
              <w:rPr>
                <w:rFonts w:ascii="Arial" w:cs="Arial" w:eastAsia="Arial" w:hAnsi="Arial"/>
                <w:sz w:val="14"/>
                <w:szCs w:val="14"/>
                <w:b w:val="1"/>
                <w:bCs w:val="1"/>
                <w:color w:val="auto"/>
                <w:w w:val="93"/>
              </w:rPr>
              <w:t>FY16 (ending January 31, 2016)</w:t>
            </w:r>
          </w:p>
        </w:tc>
      </w:tr>
      <w:tr>
        <w:trPr>
          <w:trHeight w:val="243"/>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Billings growth (1)</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- 1.5%</w:t>
            </w:r>
          </w:p>
        </w:tc>
      </w:tr>
      <w:tr>
        <w:trPr>
          <w:trHeight w:val="224"/>
        </w:trPr>
        <w:tc>
          <w:tcPr>
            <w:tcW w:w="2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Revenue (in millions) (2)</w:t>
            </w:r>
          </w:p>
        </w:tc>
        <w:tc>
          <w:tcPr>
            <w:tcW w:w="4500" w:type="dxa"/>
            <w:vAlign w:val="bottom"/>
          </w:tcPr>
          <w:p>
            <w:pPr>
              <w:jc w:val="right"/>
              <w:spacing w:after="0"/>
              <w:rPr>
                <w:sz w:val="20"/>
                <w:szCs w:val="20"/>
                <w:color w:val="auto"/>
              </w:rPr>
            </w:pPr>
            <w:r>
              <w:rPr>
                <w:rFonts w:ascii="Arial" w:cs="Arial" w:eastAsia="Arial" w:hAnsi="Arial"/>
                <w:sz w:val="16"/>
                <w:szCs w:val="16"/>
                <w:color w:val="auto"/>
              </w:rPr>
              <w:t>$2,475</w:t>
            </w:r>
          </w:p>
        </w:tc>
        <w:tc>
          <w:tcPr>
            <w:tcW w:w="1180" w:type="dxa"/>
            <w:vAlign w:val="bottom"/>
          </w:tcPr>
          <w:p>
            <w:pPr>
              <w:ind w:left="20"/>
              <w:spacing w:after="0"/>
              <w:rPr>
                <w:sz w:val="20"/>
                <w:szCs w:val="20"/>
                <w:color w:val="auto"/>
              </w:rPr>
            </w:pPr>
            <w:r>
              <w:rPr>
                <w:rFonts w:ascii="Arial" w:cs="Arial" w:eastAsia="Arial" w:hAnsi="Arial"/>
                <w:sz w:val="16"/>
                <w:szCs w:val="16"/>
                <w:color w:val="auto"/>
              </w:rPr>
              <w:t>- $2,495</w:t>
            </w:r>
          </w:p>
        </w:tc>
      </w:tr>
      <w:tr>
        <w:trPr>
          <w:trHeight w:val="33"/>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80" w:type="dxa"/>
            <w:vAlign w:val="bottom"/>
            <w:gridSpan w:val="2"/>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operating margin</w:t>
            </w:r>
          </w:p>
        </w:tc>
        <w:tc>
          <w:tcPr>
            <w:tcW w:w="5680" w:type="dxa"/>
            <w:vAlign w:val="bottom"/>
            <w:tcBorders>
              <w:bottom w:val="single" w:sz="8" w:color="CCEEFF"/>
            </w:tcBorders>
            <w:gridSpan w:val="2"/>
            <w:shd w:val="clear" w:color="auto" w:fill="CCEEFF"/>
          </w:tcPr>
          <w:p>
            <w:pPr>
              <w:jc w:val="center"/>
              <w:ind w:left="3320"/>
              <w:spacing w:after="0"/>
              <w:rPr>
                <w:sz w:val="20"/>
                <w:szCs w:val="20"/>
                <w:color w:val="auto"/>
              </w:rPr>
            </w:pPr>
            <w:r>
              <w:rPr>
                <w:rFonts w:ascii="Arial" w:cs="Arial" w:eastAsia="Arial" w:hAnsi="Arial"/>
                <w:sz w:val="16"/>
                <w:szCs w:val="16"/>
                <w:color w:val="auto"/>
                <w:w w:val="97"/>
              </w:rPr>
              <w:t>Approximately (1)%</w:t>
            </w:r>
          </w:p>
        </w:tc>
      </w:tr>
      <w:tr>
        <w:trPr>
          <w:trHeight w:val="224"/>
        </w:trPr>
        <w:tc>
          <w:tcPr>
            <w:tcW w:w="2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Non-GAAP operating margin (3)</w:t>
            </w:r>
          </w:p>
        </w:tc>
        <w:tc>
          <w:tcPr>
            <w:tcW w:w="5680" w:type="dxa"/>
            <w:vAlign w:val="bottom"/>
            <w:gridSpan w:val="2"/>
          </w:tcPr>
          <w:p>
            <w:pPr>
              <w:jc w:val="center"/>
              <w:ind w:left="3320"/>
              <w:spacing w:after="0"/>
              <w:rPr>
                <w:sz w:val="20"/>
                <w:szCs w:val="20"/>
                <w:color w:val="auto"/>
              </w:rPr>
            </w:pPr>
            <w:r>
              <w:rPr>
                <w:rFonts w:ascii="Arial" w:cs="Arial" w:eastAsia="Arial" w:hAnsi="Arial"/>
                <w:sz w:val="16"/>
                <w:szCs w:val="16"/>
                <w:color w:val="auto"/>
                <w:w w:val="95"/>
              </w:rPr>
              <w:t>Approximately 10%</w:t>
            </w:r>
          </w:p>
        </w:tc>
      </w:tr>
      <w:tr>
        <w:trPr>
          <w:trHeight w:val="33"/>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 GAAP (4)</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($1.55)</w:t>
            </w:r>
          </w:p>
        </w:tc>
      </w:tr>
      <w:tr>
        <w:trPr>
          <w:trHeight w:val="224"/>
        </w:trPr>
        <w:tc>
          <w:tcPr>
            <w:tcW w:w="2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EPS Non-GAAP (5)</w:t>
            </w:r>
          </w:p>
        </w:tc>
        <w:tc>
          <w:tcPr>
            <w:tcW w:w="5680" w:type="dxa"/>
            <w:vAlign w:val="bottom"/>
            <w:gridSpan w:val="2"/>
          </w:tcPr>
          <w:p>
            <w:pPr>
              <w:jc w:val="center"/>
              <w:ind w:left="3320"/>
              <w:spacing w:after="0"/>
              <w:rPr>
                <w:sz w:val="20"/>
                <w:szCs w:val="20"/>
                <w:color w:val="auto"/>
              </w:rPr>
            </w:pPr>
            <w:r>
              <w:rPr>
                <w:rFonts w:ascii="Arial" w:cs="Arial" w:eastAsia="Arial" w:hAnsi="Arial"/>
                <w:sz w:val="16"/>
                <w:szCs w:val="16"/>
                <w:color w:val="auto"/>
                <w:w w:val="89"/>
              </w:rPr>
              <w:t>$0.72 to $0.76</w:t>
            </w:r>
          </w:p>
        </w:tc>
      </w:tr>
      <w:tr>
        <w:trPr>
          <w:trHeight w:val="33"/>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subscription additions</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310,000</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- 330,000</w:t>
            </w:r>
          </w:p>
        </w:tc>
      </w:tr>
      <w:tr>
        <w:trPr>
          <w:trHeight w:val="22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_______________</w:t>
            </w:r>
          </w:p>
        </w:tc>
        <w:tc>
          <w:tcPr>
            <w:tcW w:w="450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 constant currency basis, billings growth would be 7% - 8%.</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 constant currency basis, revenue growth would be 3% - 4%.</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Non-GAAP operating margin excludes 8% related to stock-based compensation expense and 3% for the amortization of acquisition related intangibles.</w:t>
      </w:r>
    </w:p>
    <w:p>
      <w:pPr>
        <w:spacing w:after="0" w:line="5" w:lineRule="exact"/>
        <w:rPr>
          <w:rFonts w:ascii="Arial" w:cs="Arial" w:eastAsia="Arial" w:hAnsi="Arial"/>
          <w:sz w:val="16"/>
          <w:szCs w:val="16"/>
          <w:color w:val="auto"/>
        </w:rPr>
      </w:pPr>
    </w:p>
    <w:p>
      <w:pPr>
        <w:ind w:right="240" w:firstLine="8"/>
        <w:spacing w:after="0" w:line="246" w:lineRule="auto"/>
        <w:tabs>
          <w:tab w:leader="none" w:pos="23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GAAP net loss per diluted share includes $1.08 related to the non-cash GAAP tax charge primarily as a result of the $231 million valuation allowance established in Q2. The charge reflects the business model transition and resulting reduction in our pre-tax U.S. GAAP profitability.</w:t>
      </w:r>
    </w:p>
    <w:p>
      <w:pPr>
        <w:ind w:right="220" w:firstLine="8"/>
        <w:spacing w:after="0" w:line="328" w:lineRule="auto"/>
        <w:tabs>
          <w:tab w:leader="none" w:pos="23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Non-GAAP earnings per diluted share excludes $1.08 related to the non-cash GAAP tax charge primarily as a result of the valuation allowance established in Q2 of this year, $0.87 related to stock-based compensation expense, and $0.37 for the amortization of acquisition related intangibles, offset by $0.01 for gains on strategic investments.</w:t>
      </w:r>
    </w:p>
    <w:p>
      <w:pPr>
        <w:spacing w:after="0" w:line="13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remain diligent about managing our spend while making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(Decrease)/Increase</w:t>
            </w:r>
          </w:p>
        </w:tc>
        <w:tc>
          <w:tcPr>
            <w:tcW w:w="10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w:t>
            </w:r>
          </w:p>
        </w:tc>
        <w:tc>
          <w:tcPr>
            <w:tcW w:w="22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(Decrease)/Increase</w:t>
            </w:r>
          </w:p>
        </w:tc>
        <w:tc>
          <w:tcPr>
            <w:tcW w:w="14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2015</w:t>
            </w:r>
          </w:p>
        </w:tc>
        <w:tc>
          <w:tcPr>
            <w:tcW w:w="200" w:type="dxa"/>
            <w:vAlign w:val="bottom"/>
          </w:tcPr>
          <w:p>
            <w:pPr>
              <w:spacing w:after="0"/>
              <w:rPr>
                <w:sz w:val="22"/>
                <w:szCs w:val="22"/>
                <w:color w:val="auto"/>
              </w:rPr>
            </w:pPr>
          </w:p>
        </w:tc>
        <w:tc>
          <w:tcPr>
            <w:tcW w:w="580" w:type="dxa"/>
            <w:vAlign w:val="bottom"/>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2014</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 2015</w:t>
            </w:r>
          </w:p>
        </w:tc>
        <w:tc>
          <w:tcPr>
            <w:tcW w:w="220" w:type="dxa"/>
            <w:vAlign w:val="bottom"/>
          </w:tcPr>
          <w:p>
            <w:pPr>
              <w:spacing w:after="0"/>
              <w:rPr>
                <w:sz w:val="22"/>
                <w:szCs w:val="22"/>
                <w:color w:val="auto"/>
              </w:rPr>
            </w:pPr>
          </w:p>
        </w:tc>
        <w:tc>
          <w:tcPr>
            <w:tcW w:w="58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October 31, 2014</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280.9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(39.6)</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898.1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(89.0)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987.1</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860.5</w:t>
            </w:r>
          </w:p>
        </w:tc>
        <w:tc>
          <w:tcPr>
            <w:tcW w:w="0" w:type="dxa"/>
            <w:vAlign w:val="bottom"/>
          </w:tcPr>
          <w:p>
            <w:pPr>
              <w:spacing w:after="0"/>
              <w:rPr>
                <w:sz w:val="1"/>
                <w:szCs w:val="1"/>
                <w:color w:val="auto"/>
              </w:rPr>
            </w:pPr>
          </w:p>
        </w:tc>
      </w:tr>
      <w:tr>
        <w:trPr>
          <w:trHeight w:val="284"/>
        </w:trPr>
        <w:tc>
          <w:tcPr>
            <w:tcW w:w="28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1,855.8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 %</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1,847.6</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5.0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715.5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55.7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659.8</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707.2</w:t>
            </w: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480.6</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1,847.6</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Architecture, Engineering and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630.5</w:t>
            </w:r>
          </w:p>
        </w:tc>
        <w:tc>
          <w:tcPr>
            <w:tcW w:w="0" w:type="dxa"/>
            <w:vAlign w:val="bottom"/>
          </w:tcPr>
          <w:p>
            <w:pPr>
              <w:spacing w:after="0"/>
              <w:rPr>
                <w:sz w:val="1"/>
                <w:szCs w:val="1"/>
                <w:color w:val="auto"/>
              </w:rPr>
            </w:pPr>
          </w:p>
        </w:tc>
      </w:tr>
      <w:tr>
        <w:trPr>
          <w:trHeight w:val="220"/>
        </w:trPr>
        <w:tc>
          <w:tcPr>
            <w:tcW w:w="2840" w:type="dxa"/>
            <w:vAlign w:val="bottom"/>
          </w:tcPr>
          <w:p>
            <w:pPr>
              <w:ind w:left="380"/>
              <w:spacing w:after="0"/>
              <w:rPr>
                <w:sz w:val="20"/>
                <w:szCs w:val="20"/>
                <w:color w:val="auto"/>
              </w:rPr>
            </w:pPr>
            <w:r>
              <w:rPr>
                <w:rFonts w:ascii="Arial" w:cs="Arial" w:eastAsia="Arial" w:hAnsi="Arial"/>
                <w:sz w:val="16"/>
                <w:szCs w:val="16"/>
                <w:color w:val="auto"/>
              </w:rPr>
              <w:t>Platform Solutions and Emerging</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380"/>
              <w:spacing w:after="0"/>
              <w:rPr>
                <w:sz w:val="20"/>
                <w:szCs w:val="20"/>
                <w:color w:val="auto"/>
              </w:rPr>
            </w:pPr>
            <w:r>
              <w:rPr>
                <w:rFonts w:ascii="Arial" w:cs="Arial" w:eastAsia="Arial" w:hAnsi="Arial"/>
                <w:sz w:val="16"/>
                <w:szCs w:val="16"/>
                <w:color w:val="auto"/>
              </w:rPr>
              <w:t>Business</w:t>
            </w:r>
          </w:p>
        </w:tc>
        <w:tc>
          <w:tcPr>
            <w:tcW w:w="1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(27.5)</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607.8</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485.2</w:t>
            </w: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1,847.6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38"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perpetual licenses, term-based licenses from our desktop subscription and enterprise offerings, and product revenue for Creative Finishing. Other revenue includes revenue from consulting, training, and Creative Finishing customer support, and is recognized over time as the services are performed.</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License and other revenue decreased 12% during the three months ended October 31, 2015, as compared to the three months ended October 31, 2014. This decrease was primarily due to a 15% decrease in product license revenue as compared to the same period in the prior fiscal year. The decrease in product license revenue was due to the business model transition, which led to an 18% decrease in revenue from our flagship products and an 18% decrease in revenue from our suites products, partially offset by a 20% increase in revenue from our new and adjacent products.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three months ended October 31, 2015, the 15% decrease in product license revenue was due to a 20% decrease in the average net revenue per seat, offset by a 6% increase in the number of seats sold. The wider price points associated with newer term-based offerings is contributing to our decrease in our average net revenue per seat. Product license revenue, as a percentage of license and other revenue, was 86% and 89% for the three months ended October 31, 2015 and 2014, respectively.</w:t>
      </w:r>
    </w:p>
    <w:p>
      <w:pPr>
        <w:spacing w:after="0" w:line="187" w:lineRule="exact"/>
        <w:rPr>
          <w:sz w:val="20"/>
          <w:szCs w:val="20"/>
          <w:color w:val="auto"/>
        </w:rPr>
      </w:pPr>
    </w:p>
    <w:p>
      <w:pPr>
        <w:ind w:right="500" w:firstLine="405"/>
        <w:spacing w:after="0" w:line="286" w:lineRule="auto"/>
        <w:rPr>
          <w:sz w:val="20"/>
          <w:szCs w:val="20"/>
          <w:color w:val="auto"/>
        </w:rPr>
      </w:pPr>
      <w:r>
        <w:rPr>
          <w:rFonts w:ascii="Arial" w:cs="Arial" w:eastAsia="Arial" w:hAnsi="Arial"/>
          <w:sz w:val="17"/>
          <w:szCs w:val="17"/>
          <w:color w:val="auto"/>
        </w:rPr>
        <w:t>During the three months ended October 31, 2015, other revenue represented 14% of license and other revenue, and 6% of total net revenue. Other revenue increased by 10% during the three months ended October 31, 2015, as compared to the three months ended October 31, 2014. The increase is primarily due to a 36% increase in revenue from consumer products and a 6% increase in revenue from consulting.</w:t>
      </w:r>
    </w:p>
    <w:p>
      <w:pPr>
        <w:spacing w:after="0" w:line="16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License and other revenue decreased 9% during the nine months ended October 31, 2015, as compared to the nine months ended October 31, 2014. This decrease was primarily due to an 11% decrease in product license revenue as compared to the same period in the prior fiscal year. The decrease in product license revenue was due to an 18% decrease in revenue from our flagship products and a 9% decrease in revenue from our suites products, partially offset by a 35% increase in revenue from our new and adjacent products.</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nine months ended October 31, 2015, the 11% decrease in product license revenue was due to an 18% decrease in the average net revenue per seat, partially offset by a 7% increase in the number of seats sold. The wider price points associated with our current product offerings is contributing to our decrease in our average net revenue per seat. Product license revenue, as a percentage of license and other revenue, was 88% and 90% for the nine months ended October 31, 2015 and 2014, respectively.</w:t>
      </w:r>
    </w:p>
    <w:p>
      <w:pPr>
        <w:spacing w:after="0" w:line="18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During the nine months ended October 31, 2015, other revenue represented 12% of license and other revenue, and 6% of total net revenue. Other revenue increased by 11% during the nine months ended October 31, 2015, as compared to the nine months ended October 31, 2014. The increase is primarily due to a 10% increase in revenue from consulting and a 33% increase in revenue from consumer products, partially offset by a decrease in education revenue as a result of our strategic transition to offer software licenses to students, educators, and institutions for little or no fees.</w:t>
      </w:r>
    </w:p>
    <w:p>
      <w:pPr>
        <w:spacing w:after="0" w:line="171"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Backlog related to current software license product orders that had not shipped at the end of the quarter decreased by $37.9 million during the nine months ended October 31, 2015 from $40.4 million at January 31, 2015 to $2.5 million at October 31, 2015. Backlog from current software license product orders that we have not yet shipped consists of orders for currently available licensed software products from customers with approved credit status.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subscription revenue consists of three components: (1) maintenance revenue from our software products; (2) maintenance revenue from our term-based desktop subscription and enterprise offerings; and (3) revenue from our cloud service offerings. Our maintenance program provides our customers of software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Revenue for our cloud service offerings is recognized ratably over the contract term commencing with the date our service is made available to customers and all other revenue recognition criteria have been satisfied.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firstLine="432"/>
        <w:spacing w:after="0" w:line="291" w:lineRule="auto"/>
        <w:rPr>
          <w:sz w:val="20"/>
          <w:szCs w:val="20"/>
          <w:color w:val="auto"/>
        </w:rPr>
      </w:pPr>
      <w:r>
        <w:rPr>
          <w:rFonts w:ascii="Arial" w:cs="Arial" w:eastAsia="Arial" w:hAnsi="Arial"/>
          <w:sz w:val="16"/>
          <w:szCs w:val="16"/>
          <w:color w:val="auto"/>
        </w:rPr>
        <w:t>Subscription revenue increased 7% during the three months ended October 31, 2015, as compared to the three months ended October 31, 2014, primarily due to a 7% increase in commercial maintenance revenue. The 7% increase in commercial maintenance revenue was due to a 9% increase in commercial enrollment partially offset by a 2% decrease from net revenue per maintenance seat. Commercial enrollment represents the number of individual subscriptions corresponding to the revenue recognized during the period. The number of individual subscriptions sold over time may be different than the total subscriptions count, which captures active and paid subscriptions as of a point in time. Commercial maintenance revenue also benefited from an increase in hedge gains on subscription revenue during the three months ended October 31, 2015, as compared to the three months ended October 31, 2014. Commercial maintenance revenue represented 96% of subscription revenue for both the three months ended October 31, 2015 and 2014, respectively.</w:t>
      </w:r>
    </w:p>
    <w:p>
      <w:pPr>
        <w:spacing w:after="0" w:line="16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Subscription revenue increased 11% during the nine months ended October 31, 2015, as compared to the nine months ended October 31, 2014, primarily due to an 11% increase in commercial maintenance revenue. The 11% increase in commercial maintenance revenue was due to a 10% increase in commercial enrollment during the corresponding maintenance contract term partially offset by a 1% decrease from net revenue per maintenance seat. Commercial maintenance revenue also benefited from an increase in hedge gains on subscription revenue during the nine months ended October 31, 2015, as compared to the nine months ended October 31, 2014. Commercial maintenance revenue represented 96% of subscription revenue for both the nine months ended October 31, 2015 and 2014, respectively.</w:t>
      </w:r>
    </w:p>
    <w:p>
      <w:pPr>
        <w:spacing w:after="0" w:line="193" w:lineRule="exact"/>
        <w:rPr>
          <w:sz w:val="20"/>
          <w:szCs w:val="20"/>
          <w:color w:val="auto"/>
        </w:rPr>
      </w:pPr>
    </w:p>
    <w:p>
      <w:pPr>
        <w:jc w:val="both"/>
        <w:ind w:right="220" w:firstLine="432"/>
        <w:spacing w:after="0" w:line="302" w:lineRule="auto"/>
        <w:rPr>
          <w:sz w:val="20"/>
          <w:szCs w:val="20"/>
          <w:color w:val="auto"/>
        </w:rPr>
      </w:pPr>
      <w:r>
        <w:rPr>
          <w:rFonts w:ascii="Arial" w:cs="Arial" w:eastAsia="Arial" w:hAnsi="Arial"/>
          <w:sz w:val="16"/>
          <w:szCs w:val="16"/>
          <w:color w:val="auto"/>
        </w:rPr>
        <w:t>Changes in subscription revenue lag changes in subscription billings. Subscription billings decreased 6% during the three months ended October 31, 2015 as compared to the same period in the prior fiscal year primarily due to a decline in maintenance subscription billings. Subscription billings increased 15% during the nine months ended October 31, 2015 as compared to the same period in the prior fiscal year primarily due to an increase in maintenance subscription billings for the six months ended July 31, 2015, partially offset by the respective decline during the three months ended October 31, 2015.</w:t>
      </w:r>
    </w:p>
    <w:p>
      <w:pPr>
        <w:spacing w:after="0" w:line="15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deferred subscription revenue balance at October 31, 2015 and January 31, 2015 was $963.4 million and $936.8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Net revenue in the Americas geography increased by 2% on an as reported basis and on a constant currency basis during the three months ended October 31, 2015, as compared to the same period in the prior fiscal year. This increase was primarily due to an 11% increase in our new and adjacent product revenue and a 3% increase in our suites revenue in this geography during the three months ended October 31, 2015 as compared to the three months ended October 31, 2014. The increase in our revenue in this geography was led by the U.S and Canada, partially offset by a decline in Brazil.</w:t>
      </w:r>
    </w:p>
    <w:p>
      <w:pPr>
        <w:spacing w:after="0" w:line="15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Net revenue in the Americas geography increased by 8% on an as reported basis and 9% on a constant currency basis during the nine months ended October 31, 2015, as compared to the same period in the prior fiscal year. This increase was primarily due to a 10% increase in our suites revenue and a 19% increase in our new and adjacent product revenue in this geography during the nine months ended October 31, 2015 as compared to the nine months ended October 31, 2014. The increase in our revenue in this geography was led by the U.S. and Canada, partially offset by a decline in Brazil</w:t>
      </w:r>
    </w:p>
    <w:p>
      <w:pPr>
        <w:spacing w:after="0" w:line="15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Net revenue in the EMEA geography decreased by 5% on an as reported basis and increased 2% on a constant currency basis during the three months ended October 31, 2015 as compared to the same period in the prior fiscal year. This decrease was primarily due to a 9% decrease in our flagship product revenue and a 5% decrease in our suites revenue in this geography during the three months ended October 31, 2015 as compared to the three months ended October 31, 2014. The decrease in our revenue in this geography was led by Germany and Russia, partially offset by an increase in revenue from Ireland.</w:t>
      </w:r>
    </w:p>
    <w:p>
      <w:pPr>
        <w:spacing w:after="0" w:line="15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Net revenue in the EMEA geography decreased 2% on an as reported basis and increased 5% on a constant currency basis during the nine months ended October 31, 2015 as compared to the same period in the prior fiscal year. This decrease was primarily due to an 8% decrease in our flagship product revenue partially offset by a 15% increase in our new and adjacent product revenue in this geography during the nine months ended October 31, 2015 as compared to the nine months ended October 31, 2014. The decrease in our revenue in this geography was led by Russia and Germany, partially offset by an increase in revenue from Ireland.</w:t>
      </w:r>
    </w:p>
    <w:p>
      <w:pPr>
        <w:spacing w:after="0" w:line="18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Net revenue in the Asia Pacific ("APAC") geography decreased by 7% on an as reported basis and 1% on a constant currency basis during the three months ended October 31, 2015 as compared to the same period in the prior fiscal year. The decrease was primarily due to an 11% decrease in our flagship products, partially offset by a 16% increase in our new and adjacent product revenue in this geography during the three months ended October 31, 2015 as compared to the three months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36" w:name="page37"/>
    <w:bookmarkEnd w:id="36"/>
    <w:p>
      <w:pPr>
        <w:ind w:right="200"/>
        <w:spacing w:after="0" w:line="342" w:lineRule="auto"/>
        <w:rPr>
          <w:sz w:val="20"/>
          <w:szCs w:val="20"/>
          <w:color w:val="auto"/>
        </w:rPr>
      </w:pPr>
      <w:r>
        <w:rPr>
          <w:rFonts w:ascii="Arial" w:cs="Arial" w:eastAsia="Arial" w:hAnsi="Arial"/>
          <w:sz w:val="16"/>
          <w:szCs w:val="16"/>
          <w:color w:val="auto"/>
        </w:rPr>
        <w:t>ended October 31, 2014. The decline in revenue, led by a 16% decline in revenue from Japan, was due to unfavorable economic conditions during the three months ended October 31, 2015 as compared to the same period in the prior fiscal year, partially offset by an increase in revenue from South Korea.</w:t>
      </w:r>
    </w:p>
    <w:p>
      <w:pPr>
        <w:spacing w:after="0" w:line="12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Net revenue in the APAC geography decreased by 8% on an as reported basis and 3% on a constant currency basis during the nine months ended October 31, 2015 as compared to the same period in the prior fiscal year. The decrease was primarily due to a 12% decrease in our flagship products, partially offset by a 13% increase in our new and adjacent product revenue in this geography during the nine months ended October 31, 2015 as compared to the nine months ended October 31, 2014. The decline in revenue, led by a 23% decline in revenue from Japan, was due to unfavorable economic conditions during the nine months ended October 31, 2015 as compared to the same period in the prior fiscal year, partially offset by an increase in revenue from China.</w:t>
      </w:r>
    </w:p>
    <w:p>
      <w:pPr>
        <w:spacing w:after="0" w:line="15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Net revenue in emerging economies decreased by 8% on an as reported basis and 6% on a constant currency basis during the three months ended October 31, 2015 as compared to the same period in the prior fiscal year, primarily due to decreases in revenue from Brazil and Russia, partially offset by an increase in revenue from China. Revenue from emerging economies represented 15% of net revenue for both the three months ended October 31, 2015 and 2014.</w:t>
      </w:r>
    </w:p>
    <w:p>
      <w:pPr>
        <w:spacing w:after="0" w:line="187"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Net revenue in emerging economies was flat on an as reported basis and increased 2% on a constant currency basis during the nine months ended October 31, 2015 as compared to the same period in the prior fiscal year, primarily due to an increase in revenue from China offset by a decrease in revenue from Russia. Revenue from emerging economies represented 15% of net revenue for both the nine months ended October 31, 2015 and 2014.</w:t>
      </w:r>
    </w:p>
    <w:p>
      <w:pPr>
        <w:spacing w:after="0" w:line="147"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International net revenue represented 67% and 68% of our net revenue for the three and nine months ended October 31, 2015, respectively. International net revenue represented 69% and 71% of our net revenue for the three and nine months ended October 31, 2014, respectively. We believe that international revenue will continue to comprise a majority of our net revenue.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four reportable segments: AEC, MFG, PSEB, and Media and Entertainment ("M&amp;E"). We have no material inter-segment revenue.</w:t>
      </w:r>
    </w:p>
    <w:p>
      <w:pPr>
        <w:spacing w:after="0" w:line="23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During the three months ended October 31, 2015, net revenue for AEC increased by 4% as compared to the same period in the prior fiscal year, primarily due to a 67% growth in our AEC flexible enterprise offerings.</w:t>
      </w:r>
    </w:p>
    <w:p>
      <w:pPr>
        <w:spacing w:after="0" w:line="17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During the nine months ended October 31, 2015, net revenue for AEC increased by 10% as compared to the same period in the prior fiscal year, primarily due to 10% growth from our AEC suites, which was primarily driven by Autodesk Building Design Suite and Autodesk Infrastructure Design Suite.</w:t>
      </w:r>
    </w:p>
    <w:p>
      <w:pPr>
        <w:spacing w:after="0" w:line="12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three and nine months ended October 31, 2015, net revenue for MFG increased by 3% and 9% as compared to the same periods of the prior fiscal year, primarily due to a 58% and 129% increase in revenue from our Delcam products, respectively. The 129% increase in Delcam revenue is primarily due to the inclusion of nine months of Delcam operating results during the nine months ended October 31, 2015, compared to seven months of Delcam operating results during the nine months ended October 31, 2014.</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During the three and nine months ended October 31, 2015, net revenue for PSEB decreased by 15% and 16% as compared to the same periods in the prior fiscal year, primarily due to a 19% and 24% decrease in revenue from AutoCAD LT, respectively.</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During the three months ended October 31, 2015, net revenue for M&amp;E decreased by 9% as compared to the same period in the prior fiscal year, primarily due to a 7% decrease in Animation, which was driven by lower revenue on our 3ds Max product offerings.</w:t>
      </w:r>
    </w:p>
    <w:p>
      <w:pPr>
        <w:spacing w:after="0" w:line="170"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During the nine months ended October 31, 2015, net revenue for M&amp;E decreased by 3% as compared to the same period in the prior fiscal year, primarily due to a 17% decrease in Creative Finishing, which was driven by lower revenue on Creative Finishing hardware products and services.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18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2015</w:t>
            </w:r>
          </w:p>
        </w:tc>
        <w:tc>
          <w:tcPr>
            <w:tcW w:w="18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October 31, 2014</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2015</w:t>
            </w:r>
          </w:p>
        </w:tc>
        <w:tc>
          <w:tcPr>
            <w:tcW w:w="180" w:type="dxa"/>
            <w:vAlign w:val="bottom"/>
          </w:tcPr>
          <w:p>
            <w:pPr>
              <w:spacing w:after="0"/>
              <w:rPr>
                <w:sz w:val="22"/>
                <w:szCs w:val="22"/>
                <w:color w:val="auto"/>
              </w:rPr>
            </w:pPr>
          </w:p>
        </w:tc>
        <w:tc>
          <w:tcPr>
            <w:tcW w:w="62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r>
      <w:tr>
        <w:trPr>
          <w:trHeight w:val="21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60"/>
        </w:trPr>
        <w:tc>
          <w:tcPr>
            <w:tcW w:w="2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26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154.6</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18.7</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98.0</w:t>
            </w:r>
          </w:p>
        </w:tc>
      </w:tr>
      <w:tr>
        <w:trPr>
          <w:trHeight w:val="284"/>
        </w:trPr>
        <w:tc>
          <w:tcPr>
            <w:tcW w:w="26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5.0</w:t>
            </w: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275.8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23.2</w:t>
            </w:r>
          </w:p>
        </w:tc>
        <w:tc>
          <w:tcPr>
            <w:tcW w:w="9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252.6</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professional services fees and royalties. Direct material and overhead charges include the cost of hardware sold (mainly PC-based workstations for Creative Finishing in the M&amp;E segment), and costs associated with electronic and physical fulfillment.</w:t>
      </w:r>
    </w:p>
    <w:p>
      <w:pPr>
        <w:spacing w:after="0" w:line="188"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Cost of license and other revenue increased 2% and 3% for the three and nine months ended October 31, 2015, respectively, as compared to the same periods in the prior fiscal year, primarily due to an increase in employee related costs for our consulting related offerings driven by increased headcount and an increase in hardware related costs on our consumer related products. Also contributing to the increase in cost of license and other was an increase in Delcam related costs as a product of including nine months of Delcam operating results during the nine months ended October 31, 2015, compared to seven months of Delcam operating results during the nine months ended October 31, 2014. The increase in expense for both the three and nine months ended October 31, 2015 was partially offset by a decrease in costs associated with our Creative Finishing business on lower sales volume.</w:t>
      </w:r>
    </w:p>
    <w:p>
      <w:pPr>
        <w:spacing w:after="0" w:line="165"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Cost of subscription revenue includes the labor costs of providing product support to our maintenance and cloud subscription customers, including rent and occupancy, shipping and handling costs, professional services fees related to operating our network and cloud infrastructure, including depreciation expense and operating lease payments associated with computer equipment, data center costs, salaries and related expenses of network operations.</w:t>
      </w:r>
    </w:p>
    <w:p>
      <w:pPr>
        <w:spacing w:after="0" w:line="1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Cost of subscription revenue increased 11% and 19% during the three and nine months ended October 31, 2015, respectively, as compared to the same periods in the prior fiscal year, primarily due to an increase in cloud and hosting related costs as a result of our business model transition and an increase in employee related costs driven by increased employee headcount and product support costs. Also contributing to the increase in cost of subscription was an increase in Delcam related costs as a product of including nine months of Delcam operating results during the nine months ended October 31, 2015, compared to seven months of Delcam operating results during the nine months ended October 31, 2014.</w:t>
      </w:r>
    </w:p>
    <w:p>
      <w:pPr>
        <w:spacing w:after="0" w:line="1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increase slightly as a percentage of net revenue during the fourth quarter of fiscal 2016, as compared to the fourth quarter of fiscal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8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Decrease compared to</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200" w:type="dxa"/>
            <w:vAlign w:val="bottom"/>
          </w:tcPr>
          <w:p>
            <w:pPr>
              <w:spacing w:after="0"/>
              <w:rPr>
                <w:sz w:val="14"/>
                <w:szCs w:val="14"/>
                <w:color w:val="auto"/>
              </w:rPr>
            </w:pPr>
          </w:p>
        </w:tc>
        <w:tc>
          <w:tcPr>
            <w:tcW w:w="1400" w:type="dxa"/>
            <w:vAlign w:val="bottom"/>
            <w:gridSpan w:val="3"/>
          </w:tcPr>
          <w:p>
            <w:pPr>
              <w:jc w:val="center"/>
              <w:ind w:left="6"/>
              <w:spacing w:after="0"/>
              <w:rPr>
                <w:sz w:val="20"/>
                <w:szCs w:val="20"/>
                <w:color w:val="auto"/>
              </w:rPr>
            </w:pPr>
            <w:r>
              <w:rPr>
                <w:rFonts w:ascii="Arial" w:cs="Arial" w:eastAsia="Arial" w:hAnsi="Arial"/>
                <w:sz w:val="14"/>
                <w:szCs w:val="14"/>
                <w:b w:val="1"/>
                <w:bCs w:val="1"/>
                <w:color w:val="auto"/>
                <w:w w:val="91"/>
              </w:rPr>
              <w:t>Increase compared to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4"/>
                <w:szCs w:val="14"/>
                <w:b w:val="1"/>
                <w:bCs w:val="1"/>
                <w:color w:val="auto"/>
                <w:w w:val="95"/>
              </w:rPr>
              <w:t>prior fiscal year</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r>
      <w:tr>
        <w:trPr>
          <w:trHeight w:val="23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245.1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738.1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708.1</w:t>
            </w: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3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processing, sales and dealer commissions, rent and occupancy, payment processing fees, the cost of supplies and equipment, and allocated IT and facilities costs.</w:t>
      </w:r>
    </w:p>
    <w:p>
      <w:pPr>
        <w:spacing w:after="0" w:line="15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Marketing and sales expenses decreased 1% for the three months ended October 31, 2015 as compared to the same period in the prior fiscal year, primarily due to lower employee-related costs from commissions and bonus offset by an increase in IT costs allocated to marketing and sales and an increase in stock based comp expense as a result of a higher fair market value of awards granted.</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Marketing and sales expenses increased 4% for the nine months ended October 31, 2015, as compared to the same period in the prior fiscal year, primarily due to an increase in IT costs allocated to marketing and sales and an increase in stock based comp expense as a result of a higher fair market value of awards granted. Partially offsetting the increase in expense was a decrease in sales commission expense.</w:t>
      </w:r>
    </w:p>
    <w:p>
      <w:pPr>
        <w:spacing w:after="0" w:line="18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For the fourth quarter of fiscal 2016, as compared to the fourth quarter of fiscal 2015, we expect marketing and sales expense to decrease in absolute dollars and remain flat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w w:val="91"/>
              </w:rPr>
              <w:t>Increase compared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22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Increase compared to</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prior fiscal year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October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r>
      <w:tr>
        <w:trPr>
          <w:trHeight w:val="23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197.9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585.5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533.7</w:t>
            </w:r>
          </w:p>
        </w:tc>
      </w:tr>
      <w:tr>
        <w:trPr>
          <w:trHeight w:val="237"/>
        </w:trPr>
        <w:tc>
          <w:tcPr>
            <w:tcW w:w="23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35"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and allocated IT and facilities costs.</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Research and development expenses increased 8% and 10% during the three and nine months ended October 31, 2015, respectively, as compared to the same periods in the prior fiscal year, primarily due to increased employee-related costs from salaries and fringe benefits predominately driven by increased headcount, and an increase in IT costs allocated to research and development.</w:t>
      </w:r>
    </w:p>
    <w:p>
      <w:pPr>
        <w:spacing w:after="0" w:line="18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For the fourth quarter of fiscal 2016, as compared to the fourth quarter of fiscal 2015, we expect research and development expense to increase in absolute dollars and as a percentage of net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 compared to</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2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Increase compared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2"/>
              </w:rPr>
              <w:t>prior fiscal year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212.9</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35"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General and administrative expenses include salaries, bonuses, benefits and stock-based compensation expense for our finance, human resources and legal employees, as well as professional fees for legal and accounting services, certain foreign business taxes, gains and losses on our operating expense cash flow hedges, expense of travel, entertainment and training, expense of communication and the cost of supplies and equipment.</w:t>
      </w:r>
    </w:p>
    <w:p>
      <w:pPr>
        <w:spacing w:after="0" w:line="14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General and administrative expenses decreased 6% during the three months ended October 31, 2015, as compared to the same period in the prior fiscal year, primarily due to a decrease in certain foreign business taxes, employee-related costs from bonus attainment, and professional fees. Partially offsetting the decrease in expense was an increase in one-time charges.</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General and administrative expenses increased 3% during the nine months ended October 31, 2015, as compared to the same period in the prior fiscal year, primarily due to increased employee-related costs from salaries and bonus, predominately driven by increased headcount. Partially offsetting the increase in expense was a decrease in certain foreign business taxes.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the fourth quarter of fiscal 2016, as compared to the fourth quarter of fiscal 2015, we expect general and administrative expenses to increase in absolute dollars and slightly increase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 compared to</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22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Decrease compared to</w:t>
            </w:r>
          </w:p>
        </w:tc>
        <w:tc>
          <w:tcPr>
            <w:tcW w:w="14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2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2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2015</w:t>
            </w:r>
          </w:p>
        </w:tc>
        <w:tc>
          <w:tcPr>
            <w:tcW w:w="22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0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October 31, 2014</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31, 2015</w:t>
            </w:r>
          </w:p>
        </w:tc>
        <w:tc>
          <w:tcPr>
            <w:tcW w:w="220" w:type="dxa"/>
            <w:vAlign w:val="bottom"/>
          </w:tcPr>
          <w:p>
            <w:pPr>
              <w:spacing w:after="0"/>
              <w:rPr>
                <w:sz w:val="22"/>
                <w:szCs w:val="22"/>
                <w:color w:val="auto"/>
              </w:rPr>
            </w:pPr>
          </w:p>
        </w:tc>
        <w:tc>
          <w:tcPr>
            <w:tcW w:w="660" w:type="dxa"/>
            <w:vAlign w:val="bottom"/>
          </w:tcPr>
          <w:p>
            <w:pPr>
              <w:jc w:val="right"/>
              <w:ind w:right="32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0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r>
      <w:tr>
        <w:trPr>
          <w:trHeight w:val="206"/>
        </w:trPr>
        <w:tc>
          <w:tcPr>
            <w:tcW w:w="2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9"/>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30.5</w:t>
            </w:r>
          </w:p>
        </w:tc>
      </w:tr>
      <w:tr>
        <w:trPr>
          <w:trHeight w:val="237"/>
        </w:trPr>
        <w:tc>
          <w:tcPr>
            <w:tcW w:w="2280" w:type="dxa"/>
            <w:vAlign w:val="bottom"/>
          </w:tcPr>
          <w:p>
            <w:pPr>
              <w:ind w:left="40"/>
              <w:spacing w:after="0"/>
              <w:rPr>
                <w:sz w:val="20"/>
                <w:szCs w:val="20"/>
                <w:color w:val="auto"/>
              </w:rPr>
            </w:pPr>
            <w:r>
              <w:rPr>
                <w:rFonts w:ascii="Arial" w:cs="Arial" w:eastAsia="Arial" w:hAnsi="Arial"/>
                <w:sz w:val="16"/>
                <w:szCs w:val="16"/>
                <w:color w:val="auto"/>
                <w:w w:val="99"/>
              </w:rPr>
              <w:t>As a percentage of net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Amortization of purchased intangibles decreased 15% and 17% during the three and nine months ended October 31, 2015, respectively as compared to the same periods in the prior fiscal year, primarily related to the accumulated effects associated with amortization expense of intangible assets purchased over time.</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fourth quarter of fiscal 2016, as compared to the fourth quarter of fiscal 2015, we expect amortization of purchased intangibles to decrease in absolute dollars and remain flat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240" w:type="dxa"/>
            <w:vAlign w:val="bottom"/>
          </w:tcPr>
          <w:p>
            <w:pPr>
              <w:spacing w:after="0"/>
              <w:rPr>
                <w:sz w:val="14"/>
                <w:szCs w:val="14"/>
                <w:color w:val="auto"/>
              </w:rPr>
            </w:pPr>
          </w:p>
        </w:tc>
        <w:tc>
          <w:tcPr>
            <w:tcW w:w="18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 compared to</w:t>
            </w:r>
          </w:p>
        </w:tc>
        <w:tc>
          <w:tcPr>
            <w:tcW w:w="16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Nine Months</w:t>
            </w:r>
          </w:p>
        </w:tc>
      </w:tr>
      <w:tr>
        <w:trPr>
          <w:trHeight w:val="192"/>
        </w:trPr>
        <w:tc>
          <w:tcPr>
            <w:tcW w:w="6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31, 2014</w:t>
            </w:r>
          </w:p>
        </w:tc>
      </w:tr>
      <w:tr>
        <w:trPr>
          <w:trHeight w:val="236"/>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3.1</w:t>
            </w:r>
          </w:p>
        </w:tc>
      </w:tr>
      <w:tr>
        <w:trPr>
          <w:trHeight w:val="237"/>
        </w:trPr>
        <w:tc>
          <w:tcPr>
            <w:tcW w:w="68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68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There were no restructuring charges in both the </w:t>
      </w:r>
      <w:r>
        <w:rPr>
          <w:rFonts w:ascii="Arial" w:cs="Arial" w:eastAsia="Arial" w:hAnsi="Arial"/>
          <w:sz w:val="18"/>
          <w:szCs w:val="18"/>
          <w:color w:val="auto"/>
        </w:rPr>
        <w:t>three</w:t>
      </w:r>
      <w:r>
        <w:rPr>
          <w:rFonts w:ascii="Arial" w:cs="Arial" w:eastAsia="Arial" w:hAnsi="Arial"/>
          <w:sz w:val="16"/>
          <w:szCs w:val="16"/>
          <w:color w:val="auto"/>
        </w:rPr>
        <w:t xml:space="preserve"> months ended October 31, 2015 and 2014.</w:t>
      </w:r>
    </w:p>
    <w:p>
      <w:pPr>
        <w:spacing w:after="0" w:line="21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During the third quarter of fiscal 2014, the Board of Directors approved a world-wide restructuring plan in order to re-balance staffing levels to better align them with the evolving needs of the business. The restructuring plan included a reduction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right="780"/>
        <w:spacing w:after="0" w:line="277" w:lineRule="auto"/>
        <w:rPr>
          <w:sz w:val="20"/>
          <w:szCs w:val="20"/>
          <w:color w:val="auto"/>
        </w:rPr>
      </w:pPr>
      <w:r>
        <w:rPr>
          <w:rFonts w:ascii="Arial" w:cs="Arial" w:eastAsia="Arial" w:hAnsi="Arial"/>
          <w:sz w:val="18"/>
          <w:szCs w:val="18"/>
          <w:color w:val="auto"/>
        </w:rPr>
        <w:t>of approximately 85 positions and the consolidation of four leased facilities, with a total cost of approximately $15.0 million. We have substantially completed the actions authorized under this plan.</w:t>
      </w:r>
    </w:p>
    <w:p>
      <w:pPr>
        <w:spacing w:after="0" w:line="1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recorded no restructuring charges during both the three and nine months ended October 31, 2015. See Note 13, “Restructuring,” in the Notes to the Condensed Consolidated Financial Statements for further discussion.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6"/>
                <w:szCs w:val="16"/>
                <w:color w:val="auto"/>
              </w:rPr>
            </w:pPr>
          </w:p>
        </w:tc>
        <w:tc>
          <w:tcPr>
            <w:tcW w:w="2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Nine Months Ended October 31,</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(Loss) gain on foreign currency</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Interest and other expense, net increased $4.7 million in the three months ended October 31, 2015, as compared to the same period in the prior fiscal year primarily due to interest expense resulting from the issuance of $450.0 million aggregate principal amount of 3.125% notes due June 15, 2020 and $300.0 million aggregate principal amount of 4.375% notes due June 15, 2025.</w:t>
      </w:r>
    </w:p>
    <w:p>
      <w:pPr>
        <w:spacing w:after="0" w:line="181"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Interest and other expense, net decreased $5.8 million during the nine months ended October 31, 2015, respectively, as compared to the same periods in the prior fiscal year. The decrease is primarily related to non-recurring gains on certain of our privately-held strategic investments and mark-to-mark gains recognized on the derivative portion on certain of our other privately-held strategic investments during the current fiscal year. Comparatively, we incurred non-recurring impairment losses on certain of our privately-held strategic investments in the same periods in the prior fiscal year. This decrease was partially offset by interest expense resulting from the issuance of $450.0 million aggregate principal amount of 3.125% notes due June 15, 2020 and $300.0 million aggregate principal amount of 4.375% notes due June 15, 2025.</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Income tax expense was $21.3 million and $293.5 million for the three and nine months ended October 31, 2015, respectively, relative to a pre-tax loss of $22.5 million and pre-tax income of $0.2 million, respectively, for the same periods. Income tax expense consists primarily of foreign taxes and changes to valuation allowances, including a $230.8 million valuation allowance against the Company’s U.S. federal and remaining state deferred tax assets recorded during the three months ended July 31, 2015.</w:t>
      </w:r>
    </w:p>
    <w:p>
      <w:pPr>
        <w:spacing w:after="0" w:line="18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more-likely-than-not that some or all of the deferred tax assets will not be realized. In evaluating the need for a valuation allowance, we considered recent cumulative losses in the United States arising from our business model transition as a significant piece of negative evidence. The cumulative valuation allowances against U.S. federal and state deferred tax were $312.3 million and $26.7 million at October 31, 2015 and January 31,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respectively. See Note 6, "Income Tax," in the Notes to the Condensed Consolidated Financial Statements for further discussion.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of October 31, 2015, we had $254.0 million of gross unrecognized tax benefits, excluding interest, of which approximately $236.6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nine months ended October 31, 2015 and 2014, our gross profit, gross margin, income (loss) from operations, operating margin, net income (loss), diluted net income (loss) per share and diluted shares used in per share calculation on a GAAP and non-GAAP basis were as follows (in millions except for year-over-year change in total net revenue and billings, year-over-year change in net subscription revenue and billings, gross margin, operating margin,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0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October 31,</w:t>
            </w:r>
          </w:p>
        </w:tc>
        <w:tc>
          <w:tcPr>
            <w:tcW w:w="340" w:type="dxa"/>
            <w:vAlign w:val="bottom"/>
          </w:tcPr>
          <w:p>
            <w:pPr>
              <w:spacing w:after="0"/>
              <w:rPr>
                <w:sz w:val="16"/>
                <w:szCs w:val="16"/>
                <w:color w:val="auto"/>
              </w:rPr>
            </w:pPr>
          </w:p>
        </w:tc>
        <w:tc>
          <w:tcPr>
            <w:tcW w:w="246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w w:val="96"/>
              </w:rPr>
              <w:t>Nine Months Ended October 31,</w:t>
            </w:r>
          </w:p>
        </w:tc>
      </w:tr>
      <w:tr>
        <w:trPr>
          <w:trHeight w:val="264"/>
        </w:trPr>
        <w:tc>
          <w:tcPr>
            <w:tcW w:w="55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r>
      <w:tr>
        <w:trPr>
          <w:trHeight w:val="196"/>
        </w:trPr>
        <w:tc>
          <w:tcPr>
            <w:tcW w:w="5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revenue</w:t>
            </w:r>
          </w:p>
        </w:tc>
        <w:tc>
          <w:tcPr>
            <w:tcW w:w="8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Year-over-year change in total net billings (1)</w:t>
            </w:r>
          </w:p>
        </w:tc>
        <w:tc>
          <w:tcPr>
            <w:tcW w:w="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net subscription revenue</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7 %</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Year-over-year change in net subscription billings (1)</w:t>
            </w:r>
          </w:p>
        </w:tc>
        <w:tc>
          <w:tcPr>
            <w:tcW w:w="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4"/>
              </w:rPr>
              <w:t>508.8</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1,580.0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1,595.0</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w w:val="84"/>
              </w:rPr>
              <w:t>523.6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547.4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1,625.6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1,641.7</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85 %</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87 %</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5"/>
              </w:rPr>
              <w:t>(14.8)</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106.7</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55.1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214.4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297.4</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9 %</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5"/>
              </w:rPr>
              <w:t>(43.8)</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(293.3)</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33.1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146.2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213.5</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income per share (2)</w:t>
            </w: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5"/>
              </w:rPr>
              <w:t>(0.19)</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0.30</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0.14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0.63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0.92</w:t>
            </w:r>
          </w:p>
        </w:tc>
      </w:tr>
      <w:tr>
        <w:trPr>
          <w:trHeight w:val="33"/>
        </w:trPr>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4"/>
              </w:rPr>
              <w:t>225.3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226.5</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231.9</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860" w:type="dxa"/>
            <w:vAlign w:val="bottom"/>
          </w:tcPr>
          <w:p>
            <w:pPr>
              <w:spacing w:after="0"/>
              <w:rPr>
                <w:sz w:val="20"/>
                <w:szCs w:val="20"/>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w w:val="84"/>
              </w:rPr>
              <w:t>228.7</w:t>
            </w:r>
          </w:p>
        </w:tc>
        <w:tc>
          <w:tcPr>
            <w:tcW w:w="3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230.5</w:t>
            </w: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231.9</w:t>
            </w:r>
          </w:p>
        </w:tc>
      </w:tr>
      <w:tr>
        <w:trPr>
          <w:trHeight w:val="249"/>
        </w:trPr>
        <w:tc>
          <w:tcPr>
            <w:tcW w:w="5580" w:type="dxa"/>
            <w:vAlign w:val="bottom"/>
          </w:tcPr>
          <w:p>
            <w:pPr>
              <w:spacing w:after="0"/>
              <w:rPr>
                <w:sz w:val="20"/>
                <w:szCs w:val="20"/>
                <w:color w:val="auto"/>
              </w:rPr>
            </w:pPr>
            <w:r>
              <w:rPr>
                <w:rFonts w:ascii="Arial" w:cs="Arial" w:eastAsia="Arial" w:hAnsi="Arial"/>
                <w:sz w:val="18"/>
                <w:szCs w:val="18"/>
                <w:color w:val="auto"/>
              </w:rPr>
              <w:t>_______________</w:t>
            </w: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8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312" w:lineRule="auto"/>
        <w:rPr>
          <w:sz w:val="20"/>
          <w:szCs w:val="20"/>
          <w:color w:val="auto"/>
        </w:rPr>
      </w:pPr>
      <w:r>
        <w:rPr>
          <w:rFonts w:ascii="Arial" w:cs="Arial" w:eastAsia="Arial" w:hAnsi="Arial"/>
          <w:sz w:val="16"/>
          <w:szCs w:val="16"/>
          <w:color w:val="auto"/>
        </w:rPr>
        <w:t>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year-over-year changes,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October 31,</w:t>
            </w:r>
          </w:p>
        </w:tc>
        <w:tc>
          <w:tcPr>
            <w:tcW w:w="240" w:type="dxa"/>
            <w:vAlign w:val="bottom"/>
          </w:tcPr>
          <w:p>
            <w:pPr>
              <w:spacing w:after="0"/>
              <w:rPr>
                <w:sz w:val="16"/>
                <w:szCs w:val="16"/>
                <w:color w:val="auto"/>
              </w:rPr>
            </w:pPr>
          </w:p>
        </w:tc>
        <w:tc>
          <w:tcPr>
            <w:tcW w:w="252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revenue</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7"/>
        </w:trPr>
        <w:tc>
          <w:tcPr>
            <w:tcW w:w="5780" w:type="dxa"/>
            <w:vAlign w:val="bottom"/>
          </w:tcPr>
          <w:p>
            <w:pPr>
              <w:ind w:left="360"/>
              <w:spacing w:after="0"/>
              <w:rPr>
                <w:sz w:val="20"/>
                <w:szCs w:val="20"/>
                <w:color w:val="auto"/>
              </w:rPr>
            </w:pPr>
            <w:r>
              <w:rPr>
                <w:rFonts w:ascii="Arial" w:cs="Arial" w:eastAsia="Arial" w:hAnsi="Arial"/>
                <w:sz w:val="16"/>
                <w:szCs w:val="16"/>
                <w:color w:val="auto"/>
              </w:rPr>
              <w:t>Change in deferred revenue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hedge gain applicable to billings (1)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780" w:type="dxa"/>
            <w:vAlign w:val="bottom"/>
          </w:tcPr>
          <w:p>
            <w:pPr>
              <w:ind w:left="360"/>
              <w:spacing w:after="0"/>
              <w:rPr>
                <w:sz w:val="20"/>
                <w:szCs w:val="20"/>
                <w:color w:val="auto"/>
              </w:rPr>
            </w:pPr>
            <w:r>
              <w:rPr>
                <w:rFonts w:ascii="Arial" w:cs="Arial" w:eastAsia="Arial" w:hAnsi="Arial"/>
                <w:sz w:val="16"/>
                <w:szCs w:val="16"/>
                <w:color w:val="auto"/>
              </w:rPr>
              <w:t>Change in acquisition related deferred revenue and other</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billings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Year-over-year change in net subscription revenue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deferred subscription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7"/>
        </w:trPr>
        <w:tc>
          <w:tcPr>
            <w:tcW w:w="5780" w:type="dxa"/>
            <w:vAlign w:val="bottom"/>
          </w:tcPr>
          <w:p>
            <w:pPr>
              <w:ind w:left="360"/>
              <w:spacing w:after="0"/>
              <w:rPr>
                <w:sz w:val="20"/>
                <w:szCs w:val="20"/>
                <w:color w:val="auto"/>
              </w:rPr>
            </w:pPr>
            <w:r>
              <w:rPr>
                <w:rFonts w:ascii="Arial" w:cs="Arial" w:eastAsia="Arial" w:hAnsi="Arial"/>
                <w:sz w:val="16"/>
                <w:szCs w:val="16"/>
                <w:color w:val="auto"/>
              </w:rPr>
              <w:t>Change in hedge gain (loss) applicable to subscription billings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acquisition related deferred subscription revenue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Year-over-year change in net subscription billings (1)</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73"/>
        </w:trPr>
        <w:tc>
          <w:tcPr>
            <w:tcW w:w="5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508.8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532.0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1,580.0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1,595.0</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523.6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547.4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1,625.6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1,641.7</w:t>
            </w:r>
          </w:p>
        </w:tc>
        <w:tc>
          <w:tcPr>
            <w:tcW w:w="0" w:type="dxa"/>
            <w:vAlign w:val="bottom"/>
          </w:tcPr>
          <w:p>
            <w:pPr>
              <w:spacing w:after="0"/>
              <w:rPr>
                <w:sz w:val="1"/>
                <w:szCs w:val="1"/>
                <w:color w:val="auto"/>
              </w:rPr>
            </w:pPr>
          </w:p>
        </w:tc>
      </w:tr>
      <w:tr>
        <w:trPr>
          <w:trHeight w:val="73"/>
        </w:trPr>
        <w:tc>
          <w:tcPr>
            <w:tcW w:w="5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73"/>
        </w:trPr>
        <w:tc>
          <w:tcPr>
            <w:tcW w:w="5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(Loss) income from operations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73"/>
        </w:trPr>
        <w:tc>
          <w:tcPr>
            <w:tcW w:w="5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73"/>
        </w:trPr>
        <w:tc>
          <w:tcPr>
            <w:tcW w:w="5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(293.3)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Loss (gain) on strategic investments</w:t>
            </w:r>
          </w:p>
        </w:tc>
        <w:tc>
          <w:tcPr>
            <w:tcW w:w="24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2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0"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October 31,</w:t>
            </w:r>
          </w:p>
        </w:tc>
        <w:tc>
          <w:tcPr>
            <w:tcW w:w="220" w:type="dxa"/>
            <w:vAlign w:val="bottom"/>
          </w:tcPr>
          <w:p>
            <w:pPr>
              <w:spacing w:after="0"/>
              <w:rPr>
                <w:sz w:val="16"/>
                <w:szCs w:val="16"/>
                <w:color w:val="auto"/>
              </w:rPr>
            </w:pPr>
          </w:p>
        </w:tc>
        <w:tc>
          <w:tcPr>
            <w:tcW w:w="23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Nine Months Ended October 31,</w:t>
            </w:r>
          </w:p>
        </w:tc>
      </w:tr>
      <w:tr>
        <w:trPr>
          <w:trHeight w:val="264"/>
        </w:trPr>
        <w:tc>
          <w:tcPr>
            <w:tcW w:w="60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income per share (2)</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0.50</w:t>
            </w: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0.18</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0.13</w:t>
            </w: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Loss (gain) on strategic investments</w:t>
            </w:r>
          </w:p>
        </w:tc>
        <w:tc>
          <w:tcPr>
            <w:tcW w:w="7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0.03</w:t>
            </w: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7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780" w:type="dxa"/>
            <w:vAlign w:val="bottom"/>
            <w:tcBorders>
              <w:top w:val="single" w:sz="8" w:color="auto"/>
            </w:tcBorders>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0.92</w:t>
            </w:r>
          </w:p>
        </w:tc>
      </w:tr>
      <w:tr>
        <w:trPr>
          <w:trHeight w:val="73"/>
        </w:trPr>
        <w:tc>
          <w:tcPr>
            <w:tcW w:w="606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78"/>
        </w:trPr>
        <w:tc>
          <w:tcPr>
            <w:tcW w:w="6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225.3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231.9</w:t>
            </w: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2"/>
              </w:rPr>
              <w:t>Shares included in non-GAAP net income per share, but excluded from GAAP net loss</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per share as they would have been anti-dilutive</w:t>
            </w:r>
          </w:p>
        </w:tc>
        <w:tc>
          <w:tcPr>
            <w:tcW w:w="7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228.7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231.9</w:t>
            </w:r>
          </w:p>
        </w:tc>
      </w:tr>
      <w:tr>
        <w:trPr>
          <w:trHeight w:val="249"/>
        </w:trPr>
        <w:tc>
          <w:tcPr>
            <w:tcW w:w="6060" w:type="dxa"/>
            <w:vAlign w:val="bottom"/>
          </w:tcPr>
          <w:p>
            <w:pPr>
              <w:spacing w:after="0"/>
              <w:rPr>
                <w:sz w:val="20"/>
                <w:szCs w:val="20"/>
                <w:color w:val="auto"/>
              </w:rPr>
            </w:pPr>
            <w:r>
              <w:rPr>
                <w:rFonts w:ascii="Arial" w:cs="Arial" w:eastAsia="Arial" w:hAnsi="Arial"/>
                <w:sz w:val="18"/>
                <w:szCs w:val="18"/>
                <w:color w:val="auto"/>
              </w:rPr>
              <w:t>____________________</w:t>
            </w: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ind w:left="420" w:hanging="412"/>
        <w:spacing w:after="0"/>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6" w:right="239" w:bottom="1440" w:gutter="0" w:footer="0" w:header="0"/>
        </w:sectPr>
      </w:pPr>
    </w:p>
    <w:bookmarkStart w:id="46" w:name="page47"/>
    <w:bookmarkEnd w:id="46"/>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At October 31, 2015, our principal sources of liquidity were cash, cash equivalents and marketable securities totaling $2.8 billion and net accounts receivable of $362.3 million.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2015, we issued $450.0 million aggregate principal amount of 3.125% notes due June 15, 2020 and $300.0 million aggregate principal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4.375% notes due June 15, 2025. In December 2012, we issued $400.0 million aggregate principal amount of 1.95% notes due December 15,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 million aggregate principal amount of 3.6% notes due December 15, 2022 (all four series of notes collectively, the “Notes”). As of December 9,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have $1.5 billion aggregate principal amount of Notes outstanding. In addition, we have a line of credit facility that permits unsecured short-term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borrowings of up to $400.0 million. As of December 9, 2015, we have no amounts outstanding under the credit facility. In May 2015, Autodesk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the credit agreement to extend the facility's maturity date from May 2018 to May 2020 and to amend the financial covenants.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the net proceeds from the offering of the Notes are available for general corporate purposes.</w:t>
      </w:r>
    </w:p>
    <w:p>
      <w:pPr>
        <w:spacing w:after="0" w:line="21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increase in our cash, cash equivalents and marketable securities from $2.3 billion at January 31, 2015 to $2.8 billion at October 31, 2015 is primarily the result of the proceeds from the issuance of our June 2015 notes and the result of cash generated from operations. These increases to cash, cash equivalents and marketable securities were partially offset by cash used for repurchases of our common stock (net of stock issuance proceeds), acquisitions including business combinations and technology purchases, capital expenditures, and other investing activities. The cash proceeds from issuance of common stock vary based on our stock price, stock option exercise activity and the volume of employee purchases under the Employee Stock Purchase Plan.</w:t>
      </w:r>
    </w:p>
    <w:p>
      <w:pPr>
        <w:spacing w:after="0" w:line="158"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During the nine months ended October 31, 2015, cash generated from operating activities of $244.1 million was primarily a result of a $293.3 million net loss adjusted for non-cash expenses totaling $472.7 million associated with deferred income taxes, stock-based compensation, depreciation, amortization, and accretion. The primary working capital source of cash was a decrease in accounts receivable and an increase in deferred revenue. The primary working capital uses of cash were decreases in accrued compensation and accrued liabilities. Our days sales outstanding in trade receivables was 55 at October 31, 2015 compared to 63 at January 31, 2015. The days sales outstanding decrease relates primarily to a seasonal billings linearity shift.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0" w:right="239" w:bottom="1440" w:gutter="0" w:footer="0" w:header="0"/>
        </w:sectPr>
      </w:pPr>
    </w:p>
    <w:bookmarkStart w:id="47" w:name="page48"/>
    <w:bookmarkEnd w:id="47"/>
    <w:p>
      <w:pPr>
        <w:ind w:right="80" w:firstLine="405"/>
        <w:spacing w:after="0" w:line="259" w:lineRule="auto"/>
        <w:rPr>
          <w:sz w:val="20"/>
          <w:szCs w:val="20"/>
          <w:color w:val="auto"/>
        </w:rPr>
      </w:pPr>
      <w:r>
        <w:rPr>
          <w:rFonts w:ascii="Arial" w:cs="Arial" w:eastAsia="Arial" w:hAnsi="Arial"/>
          <w:sz w:val="18"/>
          <w:szCs w:val="18"/>
          <w:color w:val="auto"/>
        </w:rPr>
        <w:t>At October 31, 2015, our short-term investment portfolio had an estimated fair value of $946.8 million and a cost basis of $944.0 million. The portfolio fair value consisted of $373.9 million invested in corporate bonds, $202.4 million invested in certificates of deposit, $176.4 million invested in commercial paper, $59.4 million invested in U.S. government agency bonds, $47.5 million invested in U.S. treasury bills, $22.4 million invested in municipal bonds, $17.4 million invested in sovereign debt, and $3.4 million invested in asset backed securities.</w:t>
      </w:r>
    </w:p>
    <w:p>
      <w:pPr>
        <w:spacing w:after="0" w:line="187"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At October 31, 2015, $44.0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2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Aside from the notes issued in June 2015 and the amendment to our line of credit in May 2015 noted earlier in this section, there have been no material changes, as of October 31, 2015, in our contractual obligations or commercial commitments compared to those we disclosed in Management’s Discussion and Analysis of Financial Condition and Results of Operations included in our Annual Report on Form 10-K for the fiscal year ended January 31, 2015.</w:t>
      </w:r>
    </w:p>
    <w:p>
      <w:pPr>
        <w:spacing w:after="0" w:line="14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As of October 31, 2015, approximately 73%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9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Autodesk's stock repurchase program is largely to help offset the dilution from the issuance of stock under our employee stock plans and for such other purposes as may be in the interests of Autodesk and its stockholders. Stock repurchases have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nine months ended October 31, 2015, we repurchased 3.2 million and 6.9 million shares of our common stock, respectively. At October 31, 2015, 7.9 million shares remained available for repurchase under the repurchase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801" w:right="259" w:bottom="1440" w:gutter="0" w:footer="0" w:header="0"/>
        </w:sectPr>
      </w:pPr>
    </w:p>
    <w:bookmarkStart w:id="48" w:name="page49"/>
    <w:bookmarkEnd w:id="48"/>
    <w:p>
      <w:pPr>
        <w:ind w:right="60"/>
        <w:spacing w:after="0" w:line="277" w:lineRule="auto"/>
        <w:rPr>
          <w:sz w:val="20"/>
          <w:szCs w:val="20"/>
          <w:color w:val="auto"/>
        </w:rPr>
      </w:pPr>
      <w:r>
        <w:rPr>
          <w:rFonts w:ascii="Arial" w:cs="Arial" w:eastAsia="Arial" w:hAnsi="Arial"/>
          <w:sz w:val="18"/>
          <w:szCs w:val="18"/>
          <w:color w:val="auto"/>
        </w:rPr>
        <w:t>program approved by the Board of Directors. This program does not have a fixed expiration date. See Note 15, “Common Stock Repurchase Program,” in the Notes to Condensed Consolidated Financial Statements for further discussion.</w:t>
      </w:r>
    </w:p>
    <w:p>
      <w:pPr>
        <w:spacing w:after="0" w:line="17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quarter ended October 31, 2015: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 Announced Plans</w:t>
            </w: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46.73</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0.3</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September 1 - September 30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46.33</w:t>
            </w:r>
          </w:p>
        </w:tc>
        <w:tc>
          <w:tcPr>
            <w:tcW w:w="120" w:type="dxa"/>
            <w:vAlign w:val="bottom"/>
          </w:tcPr>
          <w:p>
            <w:pPr>
              <w:spacing w:after="0"/>
              <w:rPr>
                <w:sz w:val="20"/>
                <w:szCs w:val="20"/>
                <w:color w:val="auto"/>
              </w:rPr>
            </w:pPr>
          </w:p>
        </w:tc>
        <w:tc>
          <w:tcPr>
            <w:tcW w:w="2260" w:type="dxa"/>
            <w:vAlign w:val="bottom"/>
          </w:tcPr>
          <w:p>
            <w:pPr>
              <w:jc w:val="right"/>
              <w:ind w:right="23"/>
              <w:spacing w:after="0"/>
              <w:rPr>
                <w:sz w:val="20"/>
                <w:szCs w:val="20"/>
                <w:color w:val="auto"/>
              </w:rPr>
            </w:pPr>
            <w:r>
              <w:rPr>
                <w:rFonts w:ascii="Arial" w:cs="Arial" w:eastAsia="Arial" w:hAnsi="Arial"/>
                <w:sz w:val="16"/>
                <w:szCs w:val="16"/>
                <w:color w:val="auto"/>
              </w:rPr>
              <w:t>2.9</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46.33</w:t>
            </w:r>
          </w:p>
        </w:tc>
        <w:tc>
          <w:tcPr>
            <w:tcW w:w="120" w:type="dxa"/>
            <w:vAlign w:val="bottom"/>
          </w:tcPr>
          <w:p>
            <w:pPr>
              <w:spacing w:after="0"/>
              <w:rPr>
                <w:sz w:val="21"/>
                <w:szCs w:val="21"/>
                <w:color w:val="auto"/>
              </w:rPr>
            </w:pPr>
          </w:p>
        </w:tc>
        <w:tc>
          <w:tcPr>
            <w:tcW w:w="2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shares.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nine months ended October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October 31, 2015, we did not have any significant off-balance sheet arrangements, as defined in Item 303(a)(4)(ii) of Regulation 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00" w:firstLine="405"/>
        <w:spacing w:after="0" w:line="314" w:lineRule="auto"/>
        <w:rPr>
          <w:sz w:val="20"/>
          <w:szCs w:val="20"/>
          <w:color w:val="auto"/>
        </w:rPr>
      </w:pPr>
      <w:r>
        <w:rPr>
          <w:rFonts w:ascii="Arial" w:cs="Arial" w:eastAsia="Arial" w:hAnsi="Arial"/>
          <w:sz w:val="16"/>
          <w:szCs w:val="16"/>
          <w:i w:val="1"/>
          <w:iCs w:val="1"/>
          <w:color w:val="auto"/>
        </w:rPr>
        <w:t>Annualized Recurring Revenue</w:t>
      </w:r>
      <w:r>
        <w:rPr>
          <w:rFonts w:ascii="Arial" w:cs="Arial" w:eastAsia="Arial" w:hAnsi="Arial"/>
          <w:sz w:val="16"/>
          <w:szCs w:val="16"/>
          <w:b w:val="1"/>
          <w:bCs w:val="1"/>
          <w:color w:val="auto"/>
        </w:rPr>
        <w:t>—</w:t>
      </w:r>
      <w:r>
        <w:rPr>
          <w:rFonts w:ascii="Arial" w:cs="Arial" w:eastAsia="Arial" w:hAnsi="Arial"/>
          <w:sz w:val="16"/>
          <w:szCs w:val="16"/>
          <w:color w:val="auto"/>
        </w:rPr>
        <w:t>Represents the annualized value of our average monthly recurring revenue for the preceding three months. The</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captures ARR relating to traditional maintenance attached to perpetual licenses. The “new model” captures ARR relating to desktop, cloud services, and enterprise offerings. Recurring revenue acquired with the acquisition of a business may cause variability in the comparison of this calculation.</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Annualized Revenue Per Subscription</w:t>
      </w:r>
      <w:r>
        <w:rPr>
          <w:rFonts w:ascii="Arial" w:cs="Arial" w:eastAsia="Arial" w:hAnsi="Arial"/>
          <w:sz w:val="18"/>
          <w:szCs w:val="18"/>
          <w:b w:val="1"/>
          <w:bCs w:val="1"/>
          <w:color w:val="auto"/>
        </w:rPr>
        <w:t>—</w:t>
      </w:r>
      <w:r>
        <w:rPr>
          <w:rFonts w:ascii="Arial" w:cs="Arial" w:eastAsia="Arial" w:hAnsi="Arial"/>
          <w:sz w:val="18"/>
          <w:szCs w:val="18"/>
          <w:color w:val="auto"/>
        </w:rPr>
        <w:t>Is calculated by dividing our annualized recurring revenue by total subscriptions.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Billings</w:t>
      </w:r>
      <w:r>
        <w:rPr>
          <w:rFonts w:ascii="Arial" w:cs="Arial" w:eastAsia="Arial" w:hAnsi="Arial"/>
          <w:sz w:val="17"/>
          <w:szCs w:val="17"/>
          <w:b w:val="1"/>
          <w:bCs w:val="1"/>
          <w:color w:val="auto"/>
        </w:rPr>
        <w:t>—</w:t>
      </w:r>
      <w:r>
        <w:rPr>
          <w:rFonts w:ascii="Arial" w:cs="Arial" w:eastAsia="Arial" w:hAnsi="Arial"/>
          <w:sz w:val="17"/>
          <w:szCs w:val="17"/>
          <w:color w:val="auto"/>
        </w:rPr>
        <w:t>Amounts billed to customers during the current fiscal period net of any partner incentives, hedge gains or losses, or other discounts.</w:t>
      </w:r>
    </w:p>
    <w:p>
      <w:pPr>
        <w:spacing w:after="0" w:line="237"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Mechanical), Civil 3D, Inventor products (standalone), Map 3D, Maya, and Revit products (standalone).</w:t>
      </w:r>
    </w:p>
    <w:p>
      <w:pPr>
        <w:spacing w:after="0" w:line="176" w:lineRule="exact"/>
        <w:rPr>
          <w:sz w:val="20"/>
          <w:szCs w:val="20"/>
          <w:color w:val="auto"/>
        </w:rPr>
      </w:pPr>
    </w:p>
    <w:p>
      <w:pPr>
        <w:ind w:right="380" w:firstLine="405"/>
        <w:spacing w:after="0" w:line="266"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License and other revenue consists of two components: (1) all forms of product license revenue and (2) other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license revenue includes software license revenue from the sale of perpetual licenses, term-based licenses from our desktop subscription and enterprise offerings, and product revenue for Creative Finishing. Other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revenue includes revenue from consulting, training, and Creative Finishing customer support, and is recognized over time, as the services are performed.</w:t>
      </w:r>
    </w:p>
    <w:p>
      <w:pPr>
        <w:spacing w:after="0" w:line="244"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b w:val="1"/>
          <w:bCs w:val="1"/>
          <w:color w:val="auto"/>
        </w:rPr>
        <w:t>—</w:t>
      </w:r>
      <w:r>
        <w:rPr>
          <w:rFonts w:ascii="Arial" w:cs="Arial" w:eastAsia="Arial" w:hAnsi="Arial"/>
          <w:sz w:val="18"/>
          <w:szCs w:val="18"/>
          <w:color w:val="auto"/>
        </w:rPr>
        <w:t>Our maintenance program provides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80"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Delcam products, Autodesk Moldflow products, Autodesk Navisworks, Autodesk Scaleform, Autodesk Vault products, and all other products.</w:t>
      </w:r>
    </w:p>
    <w:p>
      <w:pPr>
        <w:spacing w:after="0" w:line="18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i w:val="1"/>
          <w:iCs w:val="1"/>
          <w:color w:val="auto"/>
        </w:rPr>
        <w:t xml:space="preserve">Recurring Revenue </w:t>
      </w:r>
      <w:r>
        <w:rPr>
          <w:rFonts w:ascii="Arial" w:cs="Arial" w:eastAsia="Arial" w:hAnsi="Arial"/>
          <w:sz w:val="16"/>
          <w:szCs w:val="16"/>
          <w:color w:val="auto"/>
        </w:rPr>
        <w:t>- Represents the revenue for the period from our maintenance, desktop, cloud services and enterprise license offerings,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portions of revenue allocated to license &amp; other revenue for those offerings. It excludes revenue from Autodesk Consulting Services, and subscription revenue related to education offerings, consumer product offerings, certain Creative Finishing product offerings, Autodesk Buzzsaw, Autodesk Constructware, and third party products. Recurring revenue acquired with the acquisition of a business is captured and may cause variability in the comparison of this calculation.</w:t>
      </w:r>
    </w:p>
    <w:p>
      <w:pPr>
        <w:spacing w:after="0" w:line="150"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6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desktop, cloud service and enterprise license offerings that are active and paid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quarter end date. For certain cloud based and enterprise license offerings, subscriptions represent the monthly average activity reported within the last three months of the quarter end date. Total subscriptions do not include data from education offerings, consumer product offerings, certain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 New model subscriptions consist of desktop, cloud service and enterprise license offerings, and subscriptions from Autodesk Shotgun product offerings. Maintenance subscriptions consist of maintenance subscriptions and subscriptions from Autodesk Delcam product offerings.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2015 and January 31, 2015,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$326.8 million and $381.2 million at October 31, 2015 and January 31, 2015, respectively.</w:t>
      </w:r>
    </w:p>
    <w:p>
      <w:pPr>
        <w:spacing w:after="0" w:line="16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October 31, 2015 indicated that a hypothetical 10% appreciation of the U.S. dollar from its value at October 31, 2015 and January 31, 2015 would increase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right="200"/>
        <w:spacing w:after="0" w:line="342" w:lineRule="auto"/>
        <w:rPr>
          <w:sz w:val="20"/>
          <w:szCs w:val="20"/>
          <w:color w:val="auto"/>
        </w:rPr>
      </w:pPr>
      <w:r>
        <w:rPr>
          <w:rFonts w:ascii="Arial" w:cs="Arial" w:eastAsia="Arial" w:hAnsi="Arial"/>
          <w:sz w:val="16"/>
          <w:szCs w:val="16"/>
          <w:color w:val="auto"/>
        </w:rPr>
        <w:t>fair value of our foreign currency contracts by $26.2 million and $35.1 million, respectively. A hypothetical 10% depreciation of the dollar from its value at October 31, 2015 and January 31, 2015 would decrease the fair value of our foreign currency contracts by $23.7 million and $16.5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October 31, 2015, we had $2.3 billion of cash equivalents and marketable securities, including $946.8 million classified as short-term marketable securities and $540.1 million classified as long-term marketable securities. If interest rates were to move up or down by 50 or 100 basis points over a twelve month period, the market value change of our marketable securities would have an unrealized gain or loss of $5.5 million and $9.6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400" w:firstLine="8"/>
        <w:spacing w:after="0" w:line="270" w:lineRule="auto"/>
        <w:tabs>
          <w:tab w:leader="none" w:pos="2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the rules of the Securities and Exchange Commission,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Quarterly Report on Form 10-Q. Based upon this evaluation, our Chief Executive Officer and Chief Financial Officer have concluded that our disclosure controls and procedures were not effective as of October 31, 2015 for the reasons described below.</w:t>
      </w:r>
    </w:p>
    <w:p>
      <w:pPr>
        <w:spacing w:after="0" w:line="17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reported in Note 1, "Basis of Presentation" and Note 6, "Income Tax" of this Form 10-Q, in connection with the preparation of our Condensed Consolidated Financial Statements for the fiscal quarter ended October 31, 2015, our management identified and corrected errors relating to the establishment of a valuation allowance on its deferred tax assets during the fiscal quarter ended July 31, 2015. As a result, our management concluded that a material weakness exists in our internal control over financial reporting related to our controls over the technical review of our reconciliation of our deferred tax accounts and the effective tax rate as they did not operate at a level of precision to identify errors in the calculation of our valuation allowance.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8"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We have performed additional analyses and other procedures to enable management to conclude that, notwithstanding the existence of the material weakness described above, the consolidated financial statements included in this Form 10-Q present fairly, in all material respects, our financial position, results of operations and cash flows for the periods presented in conformity with GAAP.</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Remediation Efforts with Respect to Material Weakness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initiated a plan to remediate the material weakness identified above, including the following: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 and</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Other than with respect to the remediation efforts described above, there were no changes in our internal controls over financial reporting (as such term is defined in Rules 13a-15(f) and 15d-15(f) under the Securities Exchange Act of 1934) during the quarter ended October 31, 2015 that have materially affected, or are reasonably likely to materially affect, our internal controls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796"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our business has expanded globally, we have increasingly become subject to risks arising from adverse changes in global economic and political conditions. The past several years were characterized by weak global economic conditions, volatile credit markets,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7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3" w:name="page54"/>
    <w:bookmarkEnd w:id="53"/>
    <w:p>
      <w:pPr>
        <w:ind w:right="100" w:firstLine="405"/>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A slower economic recovery in industries important to our business may adversely affect our business, financial results and financial condition. If a macro-economic recovery does not occur as rapidly as anticipated, our ability to meet our long-term financial targets may also be adversely affected.</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To address the industry transition from personal computer to cloud, mobile, and social computing, we have accelerated our move to the cloud and are offering more flexible product licenses. As part of this transition, we discontinued upgrades effective March 6, 2015 and, on February 4, 2015, we announced that new commercial seats of most standalone software products will be available only by desktop subscription beginning February 1, 2016. Additionally, we plan to discontinue selling new perpetual licenses for suites during fiscal 2017.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gross margin, operating margin, net income (loss), earnings (loss) per share, deferred revenue, and cash flow from operations will be impacted as more revenue is recognized ratably rather than up front and as new offerings bring a wider variety of price points.</w:t>
      </w:r>
    </w:p>
    <w:p>
      <w:pPr>
        <w:spacing w:after="0" w:line="182"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For example, in fiscal 2015, we announced that we would create Spark, a 3D printing software platform for developers to facilitate the advancement of 3D printing technology, and begin manufacturing and selling Ember, an Autodesk-branded 3D printer.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7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other offerings and cloud-based services. We want customers using standalone Autodesk products to expand their portfolio with our other offerings and cloud-based services, and we are taking steps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584" w:right="279" w:bottom="1440" w:gutter="0" w:footer="0" w:header="0"/>
        </w:sectPr>
      </w:pPr>
    </w:p>
    <w:bookmarkStart w:id="54" w:name="page55"/>
    <w:bookmarkEnd w:id="54"/>
    <w:p>
      <w:pPr>
        <w:ind w:right="100"/>
        <w:spacing w:after="0" w:line="272" w:lineRule="auto"/>
        <w:rPr>
          <w:sz w:val="20"/>
          <w:szCs w:val="20"/>
          <w:color w:val="auto"/>
        </w:rPr>
      </w:pPr>
      <w:r>
        <w:rPr>
          <w:rFonts w:ascii="Arial" w:cs="Arial" w:eastAsia="Arial" w:hAnsi="Arial"/>
          <w:sz w:val="17"/>
          <w:szCs w:val="17"/>
          <w:color w:val="auto"/>
        </w:rPr>
        <w:t>accelerate this migration.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7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superior experience and resources to us.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67% and 68% of our net revenue for the three and nine months ended October 31, 2015,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2012 and 2015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firstLine="432"/>
        <w:spacing w:after="0" w:line="264"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8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purchase patters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800" w:right="359" w:bottom="1440" w:gutter="0" w:footer="0" w:header="0"/>
        </w:sectPr>
      </w:pPr>
    </w:p>
    <w:bookmarkStart w:id="56" w:name="page57"/>
    <w:bookmarkEnd w:id="56"/>
    <w:p>
      <w:pPr>
        <w:spacing w:after="0" w:line="273" w:lineRule="auto"/>
        <w:rPr>
          <w:sz w:val="20"/>
          <w:szCs w:val="20"/>
          <w:color w:val="auto"/>
        </w:rPr>
      </w:pPr>
      <w:r>
        <w:rPr>
          <w:rFonts w:ascii="Arial" w:cs="Arial" w:eastAsia="Arial" w:hAnsi="Arial"/>
          <w:sz w:val="17"/>
          <w:szCs w:val="17"/>
          <w:color w:val="auto"/>
        </w:rPr>
        <w:t>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584" w:right="279" w:bottom="1440" w:gutter="0" w:footer="0" w:header="0"/>
        </w:sectPr>
      </w:pPr>
    </w:p>
    <w:bookmarkStart w:id="57" w:name="page58"/>
    <w:bookmarkEnd w:id="57"/>
    <w:p>
      <w:pPr>
        <w:ind w:right="60"/>
        <w:spacing w:after="0" w:line="269" w:lineRule="auto"/>
        <w:rPr>
          <w:sz w:val="20"/>
          <w:szCs w:val="20"/>
          <w:color w:val="auto"/>
        </w:rPr>
      </w:pPr>
      <w:r>
        <w:rPr>
          <w:rFonts w:ascii="Arial" w:cs="Arial" w:eastAsia="Arial" w:hAnsi="Arial"/>
          <w:sz w:val="17"/>
          <w:szCs w:val="17"/>
          <w:color w:val="auto"/>
        </w:rPr>
        <w:t>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8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of additional technological safeguards.</w:t>
      </w:r>
    </w:p>
    <w:p>
      <w:pPr>
        <w:spacing w:after="0" w:line="19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In addition, in October 2015 the European Court of Justice issued a ruling immediately invalidating the U.S.-EU Safe Harbor Framework, which facilitated personal data transfers to the U.S. in compliance with applicable EU data protection laws. Autodesk is currently evaluating the impact to our business of the European Court of Justice’s decision on the EU-US Safe Harbor Framework and awaiting additional guidance from European regulators on how the court’s ruling will be implemented. We continue to comply with the previous Safe Harbor principles and rely on other legal mechanisms for data transfers.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84" w:right="259" w:bottom="1440" w:gutter="0" w:footer="0" w:header="0"/>
        </w:sectPr>
      </w:pPr>
    </w:p>
    <w:bookmarkStart w:id="58" w:name="page59"/>
    <w:bookmarkEnd w:id="58"/>
    <w:p>
      <w:pPr>
        <w:spacing w:after="0" w:line="277" w:lineRule="auto"/>
        <w:rPr>
          <w:sz w:val="20"/>
          <w:szCs w:val="20"/>
          <w:color w:val="auto"/>
        </w:rPr>
      </w:pPr>
      <w:r>
        <w:rPr>
          <w:rFonts w:ascii="Arial" w:cs="Arial" w:eastAsia="Arial" w:hAnsi="Arial"/>
          <w:sz w:val="18"/>
          <w:szCs w:val="18"/>
          <w:color w:val="auto"/>
        </w:rPr>
        <w:t>be harmed, we could be subject to third party liability, including under data protection and privacy laws in certain jurisdictions, and our financial performance could be negatively impacted.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and nine months ended October 31, 2015, approximately 79% and 80%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26% and 25%, respectively, of our total net revenue for the three and nine months ended October 31, 2015, as compared to 26% of our total net revenue for both the three and nine months ended October 31, 2014.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9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to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584" w:right="279" w:bottom="1440" w:gutter="0" w:footer="0" w:header="0"/>
        </w:sectPr>
      </w:pPr>
    </w:p>
    <w:bookmarkStart w:id="59" w:name="page60"/>
    <w:bookmarkEnd w:id="59"/>
    <w:p>
      <w:pPr>
        <w:ind w:left="328" w:right="100" w:hanging="328"/>
        <w:spacing w:after="0" w:line="277"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00" w:lineRule="exact"/>
        <w:rPr>
          <w:sz w:val="20"/>
          <w:szCs w:val="20"/>
          <w:color w:val="auto"/>
        </w:rPr>
      </w:pPr>
    </w:p>
    <w:p>
      <w:pPr>
        <w:spacing w:after="0" w:line="268"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8"/>
          </w:cols>
          <w:pgMar w:left="572" w:top="584" w:right="379" w:bottom="1440" w:gutter="0" w:footer="0" w:header="0"/>
        </w:sectPr>
      </w:pPr>
    </w:p>
    <w:bookmarkStart w:id="60" w:name="page61"/>
    <w:bookmarkEnd w:id="60"/>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in fiscal 2015 we acquired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584" w:right="279" w:bottom="1440" w:gutter="0" w:footer="0" w:header="0"/>
        </w:sectPr>
      </w:pPr>
    </w:p>
    <w:bookmarkStart w:id="61" w:name="page62"/>
    <w:bookmarkEnd w:id="61"/>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nine months ended October 31, 2015, combined revenue from our AutoCAD and AutoCAD LT products, not including suites having AutoCAD or AutoCAD LT as a component, represented 24% and 25% of our total net revenue, respectively, compared to 27% and 29%, of our total net revenue during the three and nine months ended October 31, 2014,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however future maintenance revenue will also be impacted by other factors such as the amount, timing and mix of contract terms of future billings.</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If we fail to remediate the material weakness identified in our internal control over financial reporting under Section 404 of the Sarbanes-Oxley Act of 2002 or are unable to implement and maintain effective internal control over financial reporting in the future, the accuracy and timeliness of our financial and operating reporting may be adversely affected and could result in a loss of investor confidence in our financial reports and have an adverse effect on our stock price.</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reported in Note 1, "Basis of Presentation" and Note 6, "Income Tax" of this Form 10-Q, in connection with the preparation of our Condensed Consolidated Financial Statements for the fiscal quarter ended October 31, 2015, our management identified and corrected errors relating to the establishment of a valuation allowance on its deferred tax assets during the fiscal quarter ended July 31, 2015. As a result, our management concluded that a material weakness exists in our internal control over financial reporting related to our controls over the technical review of our reconciliation of our deferred tax accounts and the effective tax rate as they did not operate at a level of precision to identify errors in the calculation of our valuation allowance.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initiated a plan to remediate the material weakness identified above, including the following:</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 and</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w:t>
      </w:r>
    </w:p>
    <w:p>
      <w:pPr>
        <w:spacing w:after="0" w:line="170"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There can be no assurance that our remedial measures will be sufficient to address the material weakness or that our internal control over financial reporting will not be subject to additional material weaknesses in the future. If the remedial measures that we take are insufficient to address our material weakness or if additional material weaknesses or significant deficiencies in our internal control are discovered or occur in the future, our Condensed Consolidated Financial Statements may contain material misstatements, and we could be required to restate our financial results. Additionally, we may encounter problems or delays in implementing any changes necessary for management to make a favorable assessment of our internal control over financial reporting. If we cannot favorably assess the effectiveness of our internal control over financial reporting, investors could lose confidence in our financial reports and the price of our common stock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5620" w:right="1200" w:hanging="5288"/>
        <w:spacing w:after="0" w:line="559"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subscriptions, or other key performance metrics; 63</w:t>
      </w:r>
    </w:p>
    <w:p>
      <w:pPr>
        <w:sectPr>
          <w:pgSz w:w="11900" w:h="16838" w:orient="portrait"/>
          <w:cols w:equalWidth="0" w:num="1">
            <w:col w:w="11420"/>
          </w:cols>
          <w:pgMar w:left="240" w:top="584" w:right="239" w:bottom="1440" w:gutter="0" w:footer="0" w:header="0"/>
        </w:sectPr>
      </w:pPr>
    </w:p>
    <w:bookmarkStart w:id="63" w:name="page64"/>
    <w:bookmarkEnd w:id="63"/>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and future projections related to our business model transition, including the impact of the end of upgrades and perpetual licenses;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64" w:name="page65"/>
    <w:bookmarkEnd w:id="64"/>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are continually investing resources to update and improve these systems and environments in order to meet the growing and evolving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4" w:right="259" w:bottom="1440" w:gutter="0" w:footer="0" w:header="0"/>
        </w:sectPr>
      </w:pPr>
    </w:p>
    <w:bookmarkStart w:id="65" w:name="page66"/>
    <w:bookmarkEnd w:id="65"/>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8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not more-likely-than-not to be realized. Changes in the amount of the valuation allowance could result in a material noncash expense in the period in which the valuation allowance is adjusted and our results of operations would be adversely affected. We will continue to perform these tests and any future adjustments may have a material adverse effect on our financial condition and results of operations.</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In June 2015, we issued 3.125% notes due June 15, 2020 in an aggregate principal amount of $450.0 million and 4.375% notes due June 15, 2025 in an aggregate principal amount of $300.0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32"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October 31, 2015,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4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0" w:right="239" w:bottom="1440" w:gutter="0" w:footer="0" w:header="0"/>
        </w:sectPr>
      </w:pPr>
    </w:p>
    <w:bookmarkStart w:id="67" w:name="page68"/>
    <w:bookmarkEnd w:id="67"/>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October 31, 2015.</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796" w:right="419" w:bottom="1440" w:gutter="0" w:footer="0" w:header="0"/>
        </w:sectPr>
      </w:pPr>
    </w:p>
    <w:bookmarkStart w:id="68" w:name="page69"/>
    <w:bookmarkEnd w:id="68"/>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740" w:type="dxa"/>
            <w:vAlign w:val="bottom"/>
          </w:tcPr>
          <w:p>
            <w:pPr>
              <w:ind w:left="4900"/>
              <w:spacing w:after="0"/>
              <w:rPr>
                <w:sz w:val="20"/>
                <w:szCs w:val="20"/>
                <w:color w:val="auto"/>
              </w:rPr>
            </w:pPr>
            <w:r>
              <w:rPr>
                <w:rFonts w:ascii="Arial" w:cs="Arial" w:eastAsia="Arial" w:hAnsi="Arial"/>
                <w:sz w:val="16"/>
                <w:szCs w:val="16"/>
                <w:color w:val="auto"/>
              </w:rPr>
              <w:t>Description</w:t>
            </w:r>
          </w:p>
        </w:tc>
      </w:tr>
      <w:tr>
        <w:trPr>
          <w:trHeight w:val="501"/>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9740" w:type="dxa"/>
            <w:vAlign w:val="bottom"/>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9740" w:type="dxa"/>
            <w:vAlign w:val="bottom"/>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9740" w:type="dxa"/>
            <w:vAlign w:val="bottom"/>
          </w:tcPr>
          <w:p>
            <w:pPr>
              <w:ind w:left="240"/>
              <w:spacing w:after="0"/>
              <w:rPr>
                <w:sz w:val="20"/>
                <w:szCs w:val="20"/>
                <w:color w:val="auto"/>
              </w:rPr>
            </w:pPr>
            <w:r>
              <w:rPr>
                <w:rFonts w:ascii="Arial" w:cs="Arial" w:eastAsia="Arial" w:hAnsi="Arial"/>
                <w:sz w:val="16"/>
                <w:szCs w:val="16"/>
                <w:color w:val="auto"/>
                <w:w w:val="92"/>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40" w:type="dxa"/>
            <w:vAlign w:val="bottom"/>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9740" w:type="dxa"/>
            <w:vAlign w:val="bottom"/>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9740" w:type="dxa"/>
            <w:vAlign w:val="bottom"/>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9740" w:type="dxa"/>
            <w:vAlign w:val="bottom"/>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9740" w:type="dxa"/>
            <w:vAlign w:val="bottom"/>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9740" w:type="dxa"/>
            <w:vAlign w:val="bottom"/>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9740" w:type="dxa"/>
            <w:vAlign w:val="bottom"/>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jc w:val="both"/>
        <w:ind w:left="720" w:hanging="685"/>
        <w:spacing w:after="0" w:line="335" w:lineRule="auto"/>
        <w:tabs>
          <w:tab w:leader="none" w:pos="7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69</w:t>
      </w:r>
    </w:p>
    <w:p>
      <w:pPr>
        <w:sectPr>
          <w:pgSz w:w="11900" w:h="16838" w:orient="portrait"/>
          <w:cols w:equalWidth="0" w:num="1">
            <w:col w:w="11280"/>
          </w:cols>
          <w:pgMar w:left="240" w:top="580" w:right="379" w:bottom="1440" w:gutter="0" w:footer="0" w:header="0"/>
        </w:sectPr>
      </w:pPr>
    </w:p>
    <w:bookmarkStart w:id="69" w:name="page70"/>
    <w:bookmarkEnd w:id="69"/>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720"/>
          </w:cols>
          <w:pgMar w:left="240" w:top="580" w:right="9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2015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3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October 31, 2015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2015</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5"/>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7"/>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2019-12-29T14:27:16Z</dcterms:created>
  <dcterms:modified xsi:type="dcterms:W3CDTF">2019-12-29T14:27:16Z</dcterms:modified>
</cp:coreProperties>
</file>