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-220345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0"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quarterly period ended July 31, 2016</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40" w:lineRule="exact"/>
        <w:rPr>
          <w:sz w:val="24"/>
          <w:szCs w:val="24"/>
          <w:color w:val="auto"/>
        </w:rPr>
      </w:pPr>
    </w:p>
    <w:p>
      <w:pPr>
        <w:ind w:left="720" w:right="100" w:hanging="685"/>
        <w:spacing w:after="0" w:line="251"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4020"/>
        <w:spacing w:after="0"/>
        <w:tabs>
          <w:tab w:leader="none" w:pos="67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0" w:lineRule="exact"/>
        <w:rPr>
          <w:sz w:val="24"/>
          <w:szCs w:val="24"/>
          <w:color w:val="auto"/>
        </w:rPr>
      </w:pPr>
    </w:p>
    <w:p>
      <w:pPr>
        <w:spacing w:after="0" w:line="257" w:lineRule="exact"/>
        <w:rPr>
          <w:sz w:val="24"/>
          <w:szCs w:val="24"/>
          <w:color w:val="auto"/>
        </w:rPr>
      </w:pPr>
    </w:p>
    <w:tbl>
      <w:tblPr>
        <w:tblLayout w:type="fixed"/>
        <w:tblInd w:w="1620" w:type="dxa"/>
        <w:tblCellMar>
          <w:top w:w="0" w:type="dxa"/>
          <w:left w:w="0" w:type="dxa"/>
          <w:bottom w:w="0" w:type="dxa"/>
          <w:right w:w="0" w:type="dxa"/>
        </w:tblCellMar>
      </w:tblPr>
      <w:tr>
        <w:trPr>
          <w:trHeight w:val="526"/>
        </w:trPr>
        <w:tc>
          <w:tcPr>
            <w:tcW w:w="6120" w:type="dxa"/>
            <w:vAlign w:val="bottom"/>
          </w:tcPr>
          <w:p>
            <w:pPr>
              <w:jc w:val="center"/>
              <w:ind w:left="1966"/>
              <w:spacing w:after="0"/>
              <w:rPr>
                <w:sz w:val="20"/>
                <w:szCs w:val="20"/>
                <w:color w:val="auto"/>
              </w:rPr>
            </w:pPr>
            <w:r>
              <w:rPr>
                <w:rFonts w:ascii="Times New Roman" w:cs="Times New Roman" w:eastAsia="Times New Roman" w:hAnsi="Times New Roman"/>
                <w:sz w:val="43"/>
                <w:szCs w:val="43"/>
                <w:b w:val="1"/>
                <w:bCs w:val="1"/>
                <w:color w:val="auto"/>
              </w:rPr>
              <w:t>AUTODESK, INC.</w:t>
            </w:r>
          </w:p>
        </w:tc>
        <w:tc>
          <w:tcPr>
            <w:tcW w:w="1400" w:type="dxa"/>
            <w:vAlign w:val="bottom"/>
          </w:tcPr>
          <w:p>
            <w:pPr>
              <w:spacing w:after="0"/>
              <w:rPr>
                <w:sz w:val="24"/>
                <w:szCs w:val="24"/>
                <w:color w:val="auto"/>
              </w:rPr>
            </w:pPr>
          </w:p>
        </w:tc>
      </w:tr>
      <w:tr>
        <w:trPr>
          <w:trHeight w:val="190"/>
        </w:trPr>
        <w:tc>
          <w:tcPr>
            <w:tcW w:w="6120" w:type="dxa"/>
            <w:vAlign w:val="bottom"/>
          </w:tcPr>
          <w:p>
            <w:pPr>
              <w:jc w:val="center"/>
              <w:ind w:left="196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00" w:type="dxa"/>
            <w:vAlign w:val="bottom"/>
          </w:tcPr>
          <w:p>
            <w:pPr>
              <w:spacing w:after="0"/>
              <w:rPr>
                <w:sz w:val="16"/>
                <w:szCs w:val="16"/>
                <w:color w:val="auto"/>
              </w:rPr>
            </w:pPr>
          </w:p>
        </w:tc>
      </w:tr>
      <w:tr>
        <w:trPr>
          <w:trHeight w:val="375"/>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78"/>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8"/>
                <w:szCs w:val="18"/>
                <w:b w:val="1"/>
                <w:bCs w:val="1"/>
                <w:color w:val="auto"/>
                <w:w w:val="97"/>
              </w:rPr>
              <w:t>111 McInnis Parkway,</w:t>
            </w:r>
          </w:p>
        </w:tc>
        <w:tc>
          <w:tcPr>
            <w:tcW w:w="1400" w:type="dxa"/>
            <w:vAlign w:val="bottom"/>
          </w:tcPr>
          <w:p>
            <w:pPr>
              <w:spacing w:after="0"/>
              <w:rPr>
                <w:sz w:val="24"/>
                <w:szCs w:val="24"/>
                <w:color w:val="auto"/>
              </w:rPr>
            </w:pPr>
          </w:p>
        </w:tc>
      </w:tr>
      <w:tr>
        <w:trPr>
          <w:trHeight w:val="238"/>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8"/>
                <w:szCs w:val="18"/>
                <w:b w:val="1"/>
                <w:bCs w:val="1"/>
                <w:color w:val="auto"/>
                <w:w w:val="99"/>
              </w:rPr>
              <w:t>San Rafael, California</w:t>
            </w:r>
          </w:p>
        </w:tc>
        <w:tc>
          <w:tcPr>
            <w:tcW w:w="14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94903</w:t>
            </w:r>
          </w:p>
        </w:tc>
      </w:tr>
      <w:tr>
        <w:trPr>
          <w:trHeight w:val="220"/>
        </w:trPr>
        <w:tc>
          <w:tcPr>
            <w:tcW w:w="6120" w:type="dxa"/>
            <w:vAlign w:val="bottom"/>
          </w:tcPr>
          <w:p>
            <w:pPr>
              <w:jc w:val="center"/>
              <w:ind w:right="36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120" w:type="dxa"/>
            <w:vAlign w:val="bottom"/>
          </w:tcPr>
          <w:p>
            <w:pPr>
              <w:jc w:val="center"/>
              <w:ind w:left="1986"/>
              <w:spacing w:after="0"/>
              <w:rPr>
                <w:sz w:val="20"/>
                <w:szCs w:val="20"/>
                <w:color w:val="auto"/>
              </w:rPr>
            </w:pPr>
            <w:r>
              <w:rPr>
                <w:rFonts w:ascii="Times New Roman" w:cs="Times New Roman" w:eastAsia="Times New Roman" w:hAnsi="Times New Roman"/>
                <w:sz w:val="18"/>
                <w:szCs w:val="18"/>
                <w:b w:val="1"/>
                <w:bCs w:val="1"/>
                <w:color w:val="auto"/>
                <w:w w:val="99"/>
              </w:rPr>
              <w:t>(415) 507-5000</w:t>
            </w:r>
          </w:p>
        </w:tc>
        <w:tc>
          <w:tcPr>
            <w:tcW w:w="1400" w:type="dxa"/>
            <w:vAlign w:val="bottom"/>
          </w:tcPr>
          <w:p>
            <w:pPr>
              <w:spacing w:after="0"/>
              <w:rPr>
                <w:sz w:val="23"/>
                <w:szCs w:val="23"/>
                <w:color w:val="auto"/>
              </w:rPr>
            </w:pPr>
          </w:p>
        </w:tc>
      </w:tr>
      <w:tr>
        <w:trPr>
          <w:trHeight w:val="190"/>
        </w:trPr>
        <w:tc>
          <w:tcPr>
            <w:tcW w:w="6120" w:type="dxa"/>
            <w:vAlign w:val="bottom"/>
          </w:tcPr>
          <w:p>
            <w:pPr>
              <w:jc w:val="center"/>
              <w:ind w:left="196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-1845310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160655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5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w:t>
      </w:r>
    </w:p>
    <w:p>
      <w:pPr>
        <w:spacing w:after="0" w:line="50" w:lineRule="exact"/>
        <w:rPr>
          <w:sz w:val="24"/>
          <w:szCs w:val="24"/>
          <w:color w:val="auto"/>
        </w:rPr>
      </w:pPr>
    </w:p>
    <w:p>
      <w:pPr>
        <w:ind w:right="140"/>
        <w:spacing w:after="0" w:line="262" w:lineRule="exact"/>
        <w:rPr>
          <w:sz w:val="20"/>
          <w:szCs w:val="20"/>
          <w:color w:val="auto"/>
        </w:rPr>
      </w:pPr>
      <w:r>
        <w:rPr>
          <w:rFonts w:ascii="Times New Roman" w:cs="Times New Roman" w:eastAsia="Times New Roman" w:hAnsi="Times New Roman"/>
          <w:sz w:val="18"/>
          <w:szCs w:val="18"/>
          <w:color w:val="auto"/>
        </w:rPr>
        <w:t xml:space="preserve">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w:t>
      </w:r>
    </w:p>
    <w:p>
      <w:pPr>
        <w:spacing w:after="0" w:line="50"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0" w:right="27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0" w:right="27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44" w:lineRule="exact"/>
        <w:rPr>
          <w:sz w:val="24"/>
          <w:szCs w:val="24"/>
          <w:color w:val="auto"/>
        </w:rPr>
      </w:pPr>
    </w:p>
    <w:p>
      <w:pPr>
        <w:sectPr>
          <w:pgSz w:w="11900" w:h="16838" w:orient="portrait"/>
          <w:cols w:equalWidth="0" w:num="4">
            <w:col w:w="1620" w:space="720"/>
            <w:col w:w="5920" w:space="720"/>
            <w:col w:w="1960" w:space="160"/>
            <w:col w:w="280"/>
          </w:cols>
          <w:pgMar w:left="240" w:top="970" w:right="279" w:bottom="1440" w:gutter="0" w:footer="0" w:header="0"/>
          <w:type w:val="continuous"/>
        </w:sectPr>
      </w:pPr>
    </w:p>
    <w:p>
      <w:pPr>
        <w:spacing w:after="0" w:line="68" w:lineRule="exact"/>
        <w:rPr>
          <w:sz w:val="24"/>
          <w:szCs w:val="24"/>
          <w:color w:val="auto"/>
        </w:rPr>
      </w:pPr>
    </w:p>
    <w:p>
      <w:pPr>
        <w:ind w:left="440"/>
        <w:spacing w:after="0" w:line="23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Times New Roman" w:cs="Times New Roman" w:eastAsia="Times New Roman" w:hAnsi="Times New Roman"/>
          <w:sz w:val="20"/>
          <w:szCs w:val="20"/>
          <w:color w:val="auto"/>
        </w:rPr>
        <w:t>x</w:t>
      </w:r>
    </w:p>
    <w:p>
      <w:pPr>
        <w:spacing w:after="0" w:line="25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August 23, 2016, registrant had outstanding approximately 221,892,961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0" w:right="27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Times New Roman" w:cs="Times New Roman" w:eastAsia="Times New Roman" w:hAnsi="Times New Roman"/>
                <w:sz w:val="18"/>
                <w:szCs w:val="18"/>
                <w:b w:val="1"/>
                <w:bCs w:val="1"/>
                <w:color w:val="0000FF"/>
                <w:w w:val="99"/>
              </w:rPr>
            </w:pPr>
            <w:hyperlink w:anchor="page3">
              <w:r>
                <w:rPr>
                  <w:rFonts w:ascii="Times New Roman" w:cs="Times New Roman" w:eastAsia="Times New Roman" w:hAnsi="Times New Roman"/>
                  <w:sz w:val="18"/>
                  <w:szCs w:val="18"/>
                  <w:b w:val="1"/>
                  <w:bCs w:val="1"/>
                  <w:color w:val="0000FF"/>
                  <w:w w:val="99"/>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80" w:type="dxa"/>
            <w:vAlign w:val="bottom"/>
            <w:gridSpan w:val="21"/>
          </w:tcPr>
          <w:p>
            <w:pPr>
              <w:spacing w:after="0"/>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 xml:space="preserve">Unaudited </w:t>
            </w:r>
            <w:hyperlink w:anchor="page3">
              <w:r>
                <w:rPr>
                  <w:rFonts w:ascii="Times New Roman" w:cs="Times New Roman" w:eastAsia="Times New Roman" w:hAnsi="Times New Roman"/>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for the Three and Six Months Ended July 31, 2016 and 2015</w:t>
              </w:r>
            </w:hyperlink>
          </w:p>
        </w:tc>
        <w:tc>
          <w:tcPr>
            <w:tcW w:w="9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Loss for the Three and Six Months Ended July 31, 2016 and 2015</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372"/>
        </w:trPr>
        <w:tc>
          <w:tcPr>
            <w:tcW w:w="920" w:type="dxa"/>
            <w:vAlign w:val="bottom"/>
          </w:tcPr>
          <w:p>
            <w:pPr>
              <w:spacing w:after="0"/>
              <w:rPr>
                <w:sz w:val="24"/>
                <w:szCs w:val="24"/>
                <w:color w:val="auto"/>
              </w:rPr>
            </w:pPr>
          </w:p>
        </w:tc>
        <w:tc>
          <w:tcPr>
            <w:tcW w:w="878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as of July 31, 2016 and January 31, 2016</w:t>
              </w:r>
            </w:hyperlink>
          </w:p>
        </w:tc>
        <w:tc>
          <w:tcPr>
            <w:tcW w:w="2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July 31, 2016 and 2015</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372"/>
        </w:trPr>
        <w:tc>
          <w:tcPr>
            <w:tcW w:w="920" w:type="dxa"/>
            <w:vAlign w:val="bottom"/>
          </w:tcPr>
          <w:p>
            <w:pPr>
              <w:spacing w:after="0"/>
              <w:rPr>
                <w:sz w:val="24"/>
                <w:szCs w:val="24"/>
                <w:color w:val="auto"/>
              </w:rPr>
            </w:pPr>
          </w:p>
        </w:tc>
        <w:tc>
          <w:tcPr>
            <w:tcW w:w="7340" w:type="dxa"/>
            <w:vAlign w:val="bottom"/>
            <w:tcBorders>
              <w:top w:val="single" w:sz="8" w:color="0000EE"/>
            </w:tcBorders>
            <w:gridSpan w:val="18"/>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80" w:type="dxa"/>
            <w:vAlign w:val="bottom"/>
            <w:gridSpan w:val="21"/>
          </w:tcPr>
          <w:p>
            <w:pPr>
              <w:spacing w:after="0"/>
              <w:rPr>
                <w:rFonts w:ascii="Times New Roman" w:cs="Times New Roman" w:eastAsia="Times New Roman" w:hAnsi="Times New Roman"/>
                <w:sz w:val="18"/>
                <w:szCs w:val="18"/>
                <w:b w:val="1"/>
                <w:bCs w:val="1"/>
                <w:color w:val="0000FF"/>
              </w:rPr>
            </w:pPr>
            <w:hyperlink w:anchor="page28">
              <w:r>
                <w:rPr>
                  <w:rFonts w:ascii="Times New Roman" w:cs="Times New Roman" w:eastAsia="Times New Roman" w:hAnsi="Times New Roman"/>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17"/>
          </w:tcPr>
          <w:p>
            <w:pPr>
              <w:spacing w:after="0"/>
              <w:rPr>
                <w:rFonts w:ascii="Times New Roman" w:cs="Times New Roman" w:eastAsia="Times New Roman" w:hAnsi="Times New Roman"/>
                <w:sz w:val="18"/>
                <w:szCs w:val="18"/>
                <w:b w:val="1"/>
                <w:bCs w:val="1"/>
                <w:color w:val="0000FF"/>
              </w:rPr>
            </w:pPr>
            <w:hyperlink w:anchor="page49">
              <w:r>
                <w:rPr>
                  <w:rFonts w:ascii="Times New Roman" w:cs="Times New Roman" w:eastAsia="Times New Roman" w:hAnsi="Times New Roman"/>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4"/>
          </w:tcPr>
          <w:p>
            <w:pPr>
              <w:spacing w:after="0"/>
              <w:rPr>
                <w:rFonts w:ascii="Times New Roman" w:cs="Times New Roman" w:eastAsia="Times New Roman" w:hAnsi="Times New Roman"/>
                <w:sz w:val="18"/>
                <w:szCs w:val="18"/>
                <w:b w:val="1"/>
                <w:bCs w:val="1"/>
                <w:color w:val="0000FF"/>
              </w:rPr>
            </w:pPr>
            <w:hyperlink w:anchor="page50">
              <w:r>
                <w:rPr>
                  <w:rFonts w:ascii="Times New Roman" w:cs="Times New Roman" w:eastAsia="Times New Roman" w:hAnsi="Times New Roman"/>
                  <w:sz w:val="18"/>
                  <w:szCs w:val="18"/>
                  <w:b w:val="1"/>
                  <w:bCs w:val="1"/>
                  <w:color w:val="0000FF"/>
                </w:rPr>
                <w:t>Controls and Procedures</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49</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1"/>
          </w:tcPr>
          <w:p>
            <w:pPr>
              <w:jc w:val="center"/>
              <w:ind w:right="2960"/>
              <w:spacing w:after="0"/>
              <w:rPr>
                <w:rFonts w:ascii="Times New Roman" w:cs="Times New Roman" w:eastAsia="Times New Roman" w:hAnsi="Times New Roman"/>
                <w:sz w:val="18"/>
                <w:szCs w:val="18"/>
                <w:b w:val="1"/>
                <w:bCs w:val="1"/>
                <w:color w:val="0000FF"/>
                <w:w w:val="98"/>
              </w:rPr>
            </w:pPr>
            <w:hyperlink w:anchor="page52">
              <w:r>
                <w:rPr>
                  <w:rFonts w:ascii="Times New Roman" w:cs="Times New Roman" w:eastAsia="Times New Roman" w:hAnsi="Times New Roman"/>
                  <w:sz w:val="18"/>
                  <w:szCs w:val="18"/>
                  <w:b w:val="1"/>
                  <w:bCs w:val="1"/>
                  <w:color w:val="0000FF"/>
                  <w:w w:val="98"/>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4"/>
          </w:tcPr>
          <w:p>
            <w:pPr>
              <w:spacing w:after="0"/>
              <w:rPr>
                <w:rFonts w:ascii="Times New Roman" w:cs="Times New Roman" w:eastAsia="Times New Roman" w:hAnsi="Times New Roman"/>
                <w:sz w:val="18"/>
                <w:szCs w:val="18"/>
                <w:b w:val="1"/>
                <w:bCs w:val="1"/>
                <w:color w:val="0000FF"/>
                <w:w w:val="98"/>
              </w:rPr>
            </w:pPr>
            <w:hyperlink w:anchor="page52">
              <w:r>
                <w:rPr>
                  <w:rFonts w:ascii="Times New Roman" w:cs="Times New Roman" w:eastAsia="Times New Roman" w:hAnsi="Times New Roman"/>
                  <w:sz w:val="18"/>
                  <w:szCs w:val="18"/>
                  <w:b w:val="1"/>
                  <w:bCs w:val="1"/>
                  <w:color w:val="0000FF"/>
                  <w:w w:val="98"/>
                </w:rPr>
                <w:t>Legal Proceedings</w:t>
              </w:r>
            </w:hyperlink>
          </w:p>
        </w:tc>
        <w:tc>
          <w:tcPr>
            <w:tcW w:w="1700" w:type="dxa"/>
            <w:vAlign w:val="bottom"/>
            <w:gridSpan w:val="7"/>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gridSpan w:val="4"/>
          </w:tcPr>
          <w:p>
            <w:pPr>
              <w:spacing w:after="0"/>
              <w:rPr>
                <w:rFonts w:ascii="Times New Roman" w:cs="Times New Roman" w:eastAsia="Times New Roman" w:hAnsi="Times New Roman"/>
                <w:sz w:val="18"/>
                <w:szCs w:val="18"/>
                <w:b w:val="1"/>
                <w:bCs w:val="1"/>
                <w:color w:val="0000FF"/>
              </w:rPr>
            </w:pPr>
            <w:hyperlink w:anchor="page52">
              <w:r>
                <w:rPr>
                  <w:rFonts w:ascii="Times New Roman" w:cs="Times New Roman" w:eastAsia="Times New Roman" w:hAnsi="Times New Roman"/>
                  <w:sz w:val="18"/>
                  <w:szCs w:val="18"/>
                  <w:b w:val="1"/>
                  <w:bCs w:val="1"/>
                  <w:color w:val="0000FF"/>
                </w:rPr>
                <w:t>Risk Factors</w:t>
              </w:r>
            </w:hyperlink>
          </w:p>
        </w:tc>
        <w:tc>
          <w:tcPr>
            <w:tcW w:w="758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80" w:type="dxa"/>
            <w:vAlign w:val="bottom"/>
            <w:gridSpan w:val="21"/>
          </w:tcPr>
          <w:p>
            <w:pPr>
              <w:spacing w:after="0"/>
              <w:rPr>
                <w:rFonts w:ascii="Times New Roman" w:cs="Times New Roman" w:eastAsia="Times New Roman" w:hAnsi="Times New Roman"/>
                <w:sz w:val="18"/>
                <w:szCs w:val="18"/>
                <w:b w:val="1"/>
                <w:bCs w:val="1"/>
                <w:color w:val="0000FF"/>
              </w:rPr>
            </w:pPr>
            <w:hyperlink w:anchor="page68">
              <w:r>
                <w:rPr>
                  <w:rFonts w:ascii="Times New Roman" w:cs="Times New Roman" w:eastAsia="Times New Roman" w:hAnsi="Times New Roman"/>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40" w:type="dxa"/>
            <w:vAlign w:val="bottom"/>
            <w:gridSpan w:val="8"/>
          </w:tcPr>
          <w:p>
            <w:pPr>
              <w:spacing w:after="0"/>
              <w:rPr>
                <w:rFonts w:ascii="Times New Roman" w:cs="Times New Roman" w:eastAsia="Times New Roman" w:hAnsi="Times New Roman"/>
                <w:sz w:val="18"/>
                <w:szCs w:val="18"/>
                <w:b w:val="1"/>
                <w:bCs w:val="1"/>
                <w:color w:val="0000FF"/>
                <w:w w:val="98"/>
              </w:rPr>
            </w:pPr>
            <w:hyperlink w:anchor="page68">
              <w:r>
                <w:rPr>
                  <w:rFonts w:ascii="Times New Roman" w:cs="Times New Roman" w:eastAsia="Times New Roman" w:hAnsi="Times New Roman"/>
                  <w:sz w:val="18"/>
                  <w:szCs w:val="18"/>
                  <w:b w:val="1"/>
                  <w:bCs w:val="1"/>
                  <w:color w:val="0000FF"/>
                  <w:w w:val="9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440" w:type="dxa"/>
            <w:vAlign w:val="bottom"/>
            <w:gridSpan w:val="8"/>
          </w:tcPr>
          <w:p>
            <w:pPr>
              <w:spacing w:after="0"/>
              <w:rPr>
                <w:rFonts w:ascii="Times New Roman" w:cs="Times New Roman" w:eastAsia="Times New Roman" w:hAnsi="Times New Roman"/>
                <w:sz w:val="18"/>
                <w:szCs w:val="18"/>
                <w:b w:val="1"/>
                <w:bCs w:val="1"/>
                <w:color w:val="0000FF"/>
              </w:rPr>
            </w:pPr>
            <w:hyperlink w:anchor="page68">
              <w:r>
                <w:rPr>
                  <w:rFonts w:ascii="Times New Roman" w:cs="Times New Roman" w:eastAsia="Times New Roman" w:hAnsi="Times New Roman"/>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5"/>
          </w:tcPr>
          <w:p>
            <w:pPr>
              <w:spacing w:after="0"/>
              <w:rPr>
                <w:rFonts w:ascii="Times New Roman" w:cs="Times New Roman" w:eastAsia="Times New Roman" w:hAnsi="Times New Roman"/>
                <w:sz w:val="18"/>
                <w:szCs w:val="18"/>
                <w:b w:val="1"/>
                <w:bCs w:val="1"/>
                <w:color w:val="0000FF"/>
                <w:w w:val="98"/>
              </w:rPr>
            </w:pPr>
            <w:hyperlink w:anchor="page68">
              <w:r>
                <w:rPr>
                  <w:rFonts w:ascii="Times New Roman" w:cs="Times New Roman" w:eastAsia="Times New Roman" w:hAnsi="Times New Roman"/>
                  <w:sz w:val="18"/>
                  <w:szCs w:val="18"/>
                  <w:b w:val="1"/>
                  <w:bCs w:val="1"/>
                  <w:color w:val="0000FF"/>
                  <w:w w:val="98"/>
                </w:rPr>
                <w:t>Other Information</w:t>
              </w:r>
            </w:hyperlink>
          </w:p>
        </w:tc>
        <w:tc>
          <w:tcPr>
            <w:tcW w:w="3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Pr>
          <w:p>
            <w:pPr>
              <w:spacing w:after="0"/>
              <w:rPr>
                <w:rFonts w:ascii="Times New Roman" w:cs="Times New Roman" w:eastAsia="Times New Roman" w:hAnsi="Times New Roman"/>
                <w:sz w:val="18"/>
                <w:szCs w:val="18"/>
                <w:b w:val="1"/>
                <w:bCs w:val="1"/>
                <w:color w:val="0000FF"/>
                <w:w w:val="96"/>
              </w:rPr>
            </w:pPr>
            <w:hyperlink w:anchor="page69">
              <w:r>
                <w:rPr>
                  <w:rFonts w:ascii="Times New Roman" w:cs="Times New Roman" w:eastAsia="Times New Roman" w:hAnsi="Times New Roman"/>
                  <w:sz w:val="18"/>
                  <w:szCs w:val="18"/>
                  <w:b w:val="1"/>
                  <w:bCs w:val="1"/>
                  <w:color w:val="0000FF"/>
                  <w:w w:val="96"/>
                </w:rPr>
                <w:t>Exhibits</w:t>
              </w:r>
            </w:hyperlink>
          </w:p>
        </w:tc>
        <w:tc>
          <w:tcPr>
            <w:tcW w:w="800" w:type="dxa"/>
            <w:vAlign w:val="bottom"/>
            <w:gridSpan w:val="4"/>
          </w:tcPr>
          <w:p>
            <w:pPr>
              <w:spacing w:after="0"/>
              <w:rPr>
                <w:sz w:val="24"/>
                <w:szCs w:val="24"/>
                <w:color w:val="auto"/>
              </w:rPr>
            </w:pPr>
          </w:p>
        </w:tc>
        <w:tc>
          <w:tcPr>
            <w:tcW w:w="754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Times New Roman" w:cs="Times New Roman" w:eastAsia="Times New Roman" w:hAnsi="Times New Roman"/>
                <w:sz w:val="18"/>
                <w:szCs w:val="18"/>
                <w:b w:val="1"/>
                <w:bCs w:val="1"/>
                <w:color w:val="0000FF"/>
                <w:w w:val="97"/>
              </w:rPr>
            </w:pPr>
            <w:hyperlink w:anchor="page70">
              <w:r>
                <w:rPr>
                  <w:rFonts w:ascii="Times New Roman" w:cs="Times New Roman" w:eastAsia="Times New Roman" w:hAnsi="Times New Roman"/>
                  <w:sz w:val="18"/>
                  <w:szCs w:val="18"/>
                  <w:b w:val="1"/>
                  <w:bCs w:val="1"/>
                  <w:color w:val="0000FF"/>
                  <w:w w:val="97"/>
                </w:rPr>
                <w:t>Signatures</w:t>
              </w:r>
            </w:hyperlink>
          </w:p>
        </w:tc>
        <w:tc>
          <w:tcPr>
            <w:tcW w:w="816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6"/>
                <w:szCs w:val="16"/>
                <w:color w:val="auto"/>
              </w:rPr>
            </w:pPr>
          </w:p>
        </w:tc>
        <w:tc>
          <w:tcPr>
            <w:tcW w:w="178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638.8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License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617.2</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550.7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1,256.0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Cost of subscription revenue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Cost of license and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cost of revenue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1,071.2</w:t>
            </w: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Marketing and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528.5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1,097.7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1,045.4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Basic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Diluted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used in computing basic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Weighted average shares used in computing diluted net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264"/>
        </w:trPr>
        <w:tc>
          <w:tcPr>
            <w:tcW w:w="8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(265.9)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(249.5)</w:t>
            </w: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reclassifications: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 on derivative instruments (net of tax effect of $1.1, $0.8, ($0.8) and ($0.7),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net unrealized gain (loss) on available-for-sale securities (net of tax effect of ($0.1), $0.3, ($0.6) and $0.2,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defined benefit pension items (net of tax effect of ($0.2), $0.0, ($0.2) and $0.0,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change in cumulative foreign currency translation loss (net of tax effect of $0.0, $0.7, $0.0 and $4.5, respectively)</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44"/>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(274.6)</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(266.5)</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209"/>
        </w:trPr>
        <w:tc>
          <w:tcPr>
            <w:tcW w:w="8120" w:type="dxa"/>
            <w:vAlign w:val="bottom"/>
            <w:tcBorders>
              <w:top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1,353.0</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897.9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653.6</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2,993.1</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532.3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169.3</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1,535.0</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5,047.4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5,515.3</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119.9</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1,068.9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129.5</w:t>
            </w:r>
          </w:p>
        </w:tc>
      </w:tr>
      <w:tr>
        <w:trPr>
          <w:trHeight w:val="217"/>
        </w:trPr>
        <w:tc>
          <w:tcPr>
            <w:tcW w:w="8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1,591.0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450.3</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1,487.7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1,619.6</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5,047.4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5,515.3</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79.2</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163.7</w:t>
            </w:r>
          </w:p>
        </w:tc>
      </w:tr>
      <w:tr>
        <w:trPr>
          <w:trHeight w:val="20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(1,314.2)</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541.0</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0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debt, net of discount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7"/>
        </w:trPr>
        <w:tc>
          <w:tcPr>
            <w:tcW w:w="88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567.5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8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100"/>
        <w:spacing w:after="0"/>
        <w:tabs>
          <w:tab w:leader="none" w:pos="280" w:val="left"/>
        </w:tabs>
        <w:rPr>
          <w:sz w:val="20"/>
          <w:szCs w:val="20"/>
          <w:color w:val="auto"/>
        </w:rPr>
      </w:pPr>
      <w:r>
        <w:rPr>
          <w:rFonts w:ascii="Times New Roman" w:cs="Times New Roman" w:eastAsia="Times New Roman" w:hAnsi="Times New Roman"/>
          <w:sz w:val="16"/>
          <w:szCs w:val="16"/>
          <w:color w:val="auto"/>
        </w:rPr>
        <w:t>114.3</w:t>
      </w:r>
      <w:r>
        <w:rPr>
          <w:sz w:val="20"/>
          <w:szCs w:val="20"/>
          <w:color w:val="auto"/>
        </w:rPr>
        <w:tab/>
      </w:r>
      <w:r>
        <w:rPr>
          <w:rFonts w:ascii="Times New Roman" w:cs="Times New Roman" w:eastAsia="Times New Roman" w:hAnsi="Times New Roman"/>
          <w:sz w:val="16"/>
          <w:szCs w:val="16"/>
          <w:color w:val="auto"/>
        </w:rPr>
        <w:t>62.5</w:t>
      </w:r>
    </w:p>
    <w:p>
      <w:pPr>
        <w:spacing w:after="0" w:line="73" w:lineRule="exact"/>
        <w:rPr>
          <w:sz w:val="20"/>
          <w:szCs w:val="20"/>
          <w:color w:val="auto"/>
        </w:rPr>
      </w:pPr>
    </w:p>
    <w:p>
      <w:pPr>
        <w:jc w:val="right"/>
        <w:ind w:right="100"/>
        <w:spacing w:after="0"/>
        <w:tabs>
          <w:tab w:leader="none" w:pos="480" w:val="left"/>
        </w:tabs>
        <w:rPr>
          <w:sz w:val="20"/>
          <w:szCs w:val="20"/>
          <w:color w:val="auto"/>
        </w:rPr>
      </w:pPr>
      <w:r>
        <w:rPr>
          <w:rFonts w:ascii="Times New Roman" w:cs="Times New Roman" w:eastAsia="Times New Roman" w:hAnsi="Times New Roman"/>
          <w:sz w:val="16"/>
          <w:szCs w:val="16"/>
          <w:color w:val="auto"/>
        </w:rPr>
        <w:t>1,353.0</w:t>
      </w:r>
      <w:r>
        <w:rPr>
          <w:sz w:val="20"/>
          <w:szCs w:val="20"/>
          <w:color w:val="auto"/>
        </w:rPr>
        <w:tab/>
      </w:r>
      <w:r>
        <w:rPr>
          <w:rFonts w:ascii="Times New Roman" w:cs="Times New Roman" w:eastAsia="Times New Roman" w:hAnsi="Times New Roman"/>
          <w:sz w:val="16"/>
          <w:szCs w:val="16"/>
          <w:color w:val="auto"/>
        </w:rPr>
        <w:t>1,410.6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spacing w:after="0"/>
        <w:tabs>
          <w:tab w:leader="none" w:pos="640" w:val="left"/>
          <w:tab w:leader="none" w:pos="1360" w:val="left"/>
          <w:tab w:leader="none" w:pos="19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1,467.3</w:t>
        <w:tab/>
        <w:t>$</w:t>
      </w:r>
      <w:r>
        <w:rPr>
          <w:sz w:val="20"/>
          <w:szCs w:val="20"/>
          <w:color w:val="auto"/>
        </w:rPr>
        <w:tab/>
      </w:r>
      <w:r>
        <w:rPr>
          <w:rFonts w:ascii="Times New Roman" w:cs="Times New Roman" w:eastAsia="Times New Roman" w:hAnsi="Times New Roman"/>
          <w:sz w:val="16"/>
          <w:szCs w:val="16"/>
          <w:color w:val="auto"/>
        </w:rPr>
        <w:t>1,473.1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16637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76"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(Tables in millions, except share and per share data, or as otherwise noted)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July 31, 2016, and for the three and six months ended July 31, 2016 and 2015,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2016 are not necessarily indicative of the results for the entire fiscal year ending January 31, 2017, or for any other period. There have been no material changes to Autodesk's significant accounting policies as compared to the significant accounting policies disclosed in the Annual Report on Form 10-K for the fiscal year ended January 31, 2016.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2016, filed on March 23, 2016.</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the course of preparing the Condensed Consolidated Financial Statements for the three and nine months ended October 31, 2015, Autodesk determined that it had understated income tax expense by $33.1 million for the three and six months ended July 31, 2015, primarily related to an error in the establishment of the valuation allowance, which had been understated at July 31, 2015.</w:t>
      </w:r>
    </w:p>
    <w:p>
      <w:pPr>
        <w:spacing w:after="0" w:line="174"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Autodesk performed the analysis required by Staff Accounting Bulletin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to evaluate the materiality of the error, quantitatively and qualitatively, and concluded it was not material to the Company’s Condensed Consolidated Financial Statements as of July 31, 2015 and for the three and six month periods ended July 31, 2015; however, in light of the significance of a correction of the error to the results for the three months ended October 31, 2015, Autodesk chose to correct the error by revising the previously reported results for the three and six months ended July 31, 2015. See Note 6, "Income Tax," in the Notes to the Condensed Consolidated Financial Statements for further discussion.</w:t>
      </w:r>
    </w:p>
    <w:p>
      <w:pPr>
        <w:spacing w:after="0" w:line="18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April 30, 2015, Autodesk determined that it had not correctly accounted for certain liabilities primarily related to employee benefits and unclaimed property. Accordingly, during the six months ended July 31, 2015, we recorded $5.7 million of additional operating expenses related to prior periods.</w:t>
      </w:r>
    </w:p>
    <w:p>
      <w:pPr>
        <w:spacing w:after="0" w:line="17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these adjustments were related to the correction of errors, Autodesk performed the analysis required by Staff Accounting Bulletin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and Staff Accounting Bulletin No. 108,</w:t>
      </w:r>
      <w:r>
        <w:rPr>
          <w:rFonts w:ascii="Times New Roman" w:cs="Times New Roman" w:eastAsia="Times New Roman" w:hAnsi="Times New Roman"/>
          <w:sz w:val="18"/>
          <w:szCs w:val="18"/>
          <w:i w:val="1"/>
          <w:iCs w:val="1"/>
          <w:color w:val="auto"/>
        </w:rPr>
        <w:t xml:space="preserve"> Considering the Effects of Prior Year Misstatements When Quantifying Misstatements in Current Year Financial Statements</w:t>
      </w:r>
      <w:r>
        <w:rPr>
          <w:rFonts w:ascii="Times New Roman" w:cs="Times New Roman" w:eastAsia="Times New Roman" w:hAnsi="Times New Roman"/>
          <w:sz w:val="18"/>
          <w:szCs w:val="18"/>
          <w:color w:val="auto"/>
        </w:rPr>
        <w:t>. Based on this analysis, Autodesk concluded that the effect of the errors was not material to the financial position,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cash flows in fiscal 2016 or any other prior fiscal year from both a quantitative and qualitative perspective.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29"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With the exception of those discussed below, there have been no recent changes in accounting pronouncements issued by the Financial Accounting Standards Board (“FASB”) or adopted by the Company during the six months ended July 31, 2016, that are of significance, or potential significance, to the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March 2016, the FASB issued Accounting Standards Update No. 2016-09 ("ASU 2016-09") regarding ASC Topic 718, “Improvements to Employee Share-Based Payment Accounting.”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standard also increases the amount of shares an employer can withhold for tax purposes without triggering liability accounting, clarifies that all cash payments made on an employee's behalf for withheld shares should be presented as a financing activity in the statements of cash flows, and provides an entity-wide accounting policy election to account for forfeitures as they occur.</w:t>
      </w:r>
    </w:p>
    <w:p>
      <w:pPr>
        <w:spacing w:after="0" w:line="17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Autodesk early adopted the standard during the three months ended July 31, 2016. Upon adoption, under the modified retrospective transition method, the Company recognized the previously unrecognized excess tax benefits as increases in deferred tax assets for tax credit and tax loss carryovers, of which $116.5 million were available to offset liabilities for uncertain tax benefits. This reduction in liabilities for uncertain tax benefits resulted in a cumulative-effect increase of $116.5 million to the February 1, 2016 opening retained earnings balance. Tax attributes not available to offset uncertain tax benefits were fully offset by a valuation allowance.</w:t>
      </w:r>
    </w:p>
    <w:p>
      <w:pPr>
        <w:spacing w:after="0" w:line="184"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Autodesk elected to account for forfeitures as they occur using a modified retrospective transition method, which resulted in a cumulative-effect adjustment of $6.9 million to reduce the February 1, 2016 opening retained earnings balance.</w:t>
      </w:r>
    </w:p>
    <w:p>
      <w:pPr>
        <w:spacing w:after="0" w:line="16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Autodesk elected to apply the change in presentation of excess tax benefits in the statements of cash flows retrospectively to all periods presented and no longer classifies them as a reduction from operating cash flows. However, the adoption did not impact the current or prior period presented as there were no excess tax benefits recorded. The retrospective presentation requirements for cash flows related to employee taxes paid for withheld shares had no impact to any prior period since such cash flows have historically been presented as a financing activity. Additional amendments to the accounting for minimum statutory withholding tax requirements had no impact to opening retained earnings as of February 1, 2016 as Autodesk does not withhold more than the minimum statutory requirements.</w:t>
      </w:r>
    </w:p>
    <w:p>
      <w:pPr>
        <w:spacing w:after="0" w:line="16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Autodesk elected to early adopt in the second quarter of fiscal 2017, we are required to reflect any adjustments as of February 1, 2016, the beginning of the annual period that includes the interim period of adoption, and are required to revise our reported quarterly results for the three months ended April 30, 2016. Accordingly, this table reflects the retrospective adjustments made to beginning retained earnings and to the previously reported results for the three months ended April 30, 2016:</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80" w:type="dxa"/>
            <w:vAlign w:val="bottom"/>
          </w:tcPr>
          <w:p>
            <w:pPr>
              <w:spacing w:after="0"/>
              <w:rPr>
                <w:sz w:val="16"/>
                <w:szCs w:val="16"/>
                <w:color w:val="auto"/>
              </w:rPr>
            </w:pPr>
          </w:p>
        </w:tc>
        <w:tc>
          <w:tcPr>
            <w:tcW w:w="34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ASU 2016-09 Adoption Adjustments:</w:t>
            </w:r>
          </w:p>
        </w:tc>
        <w:tc>
          <w:tcPr>
            <w:tcW w:w="200" w:type="dxa"/>
            <w:vAlign w:val="bottom"/>
          </w:tcPr>
          <w:p>
            <w:pPr>
              <w:spacing w:after="0"/>
              <w:rPr>
                <w:sz w:val="16"/>
                <w:szCs w:val="16"/>
                <w:color w:val="auto"/>
              </w:rPr>
            </w:pPr>
          </w:p>
        </w:tc>
        <w:tc>
          <w:tcPr>
            <w:tcW w:w="12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6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3"/>
                <w:szCs w:val="13"/>
                <w:color w:val="auto"/>
              </w:rPr>
            </w:pPr>
          </w:p>
        </w:tc>
        <w:tc>
          <w:tcPr>
            <w:tcW w:w="128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April 30, 2016</w:t>
            </w:r>
          </w:p>
        </w:tc>
        <w:tc>
          <w:tcPr>
            <w:tcW w:w="120" w:type="dxa"/>
            <w:vAlign w:val="bottom"/>
            <w:vMerge w:val="restart"/>
          </w:tcPr>
          <w:p>
            <w:pPr>
              <w:spacing w:after="0"/>
              <w:rPr>
                <w:sz w:val="13"/>
                <w:szCs w:val="13"/>
                <w:color w:val="auto"/>
              </w:rPr>
            </w:pPr>
          </w:p>
        </w:tc>
        <w:tc>
          <w:tcPr>
            <w:tcW w:w="188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February 1, 2016 Retained</w:t>
            </w:r>
          </w:p>
        </w:tc>
        <w:tc>
          <w:tcPr>
            <w:tcW w:w="2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126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April 30, 2016</w:t>
            </w:r>
          </w:p>
        </w:tc>
        <w:tc>
          <w:tcPr>
            <w:tcW w:w="0" w:type="dxa"/>
            <w:vAlign w:val="bottom"/>
          </w:tcPr>
          <w:p>
            <w:pPr>
              <w:spacing w:after="0"/>
              <w:rPr>
                <w:sz w:val="1"/>
                <w:szCs w:val="1"/>
                <w:color w:val="auto"/>
              </w:rPr>
            </w:pPr>
          </w:p>
        </w:tc>
      </w:tr>
      <w:tr>
        <w:trPr>
          <w:trHeight w:val="195"/>
        </w:trPr>
        <w:tc>
          <w:tcPr>
            <w:tcW w:w="4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Ended April 30, 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1,865.6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1,867.2</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109.6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33"/>
        </w:trPr>
        <w:tc>
          <w:tcPr>
            <w:tcW w:w="4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20" w:type="dxa"/>
            <w:vAlign w:val="bottom"/>
          </w:tcPr>
          <w:p>
            <w:pPr>
              <w:spacing w:after="0"/>
              <w:rPr>
                <w:sz w:val="13"/>
                <w:szCs w:val="13"/>
                <w:color w:val="auto"/>
              </w:rPr>
            </w:pPr>
          </w:p>
        </w:tc>
        <w:tc>
          <w:tcPr>
            <w:tcW w:w="2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ASU 2016-09 Adoption</w:t>
            </w:r>
          </w:p>
        </w:tc>
        <w:tc>
          <w:tcPr>
            <w:tcW w:w="120" w:type="dxa"/>
            <w:vAlign w:val="bottom"/>
          </w:tcPr>
          <w:p>
            <w:pPr>
              <w:spacing w:after="0"/>
              <w:rPr>
                <w:sz w:val="13"/>
                <w:szCs w:val="13"/>
                <w:color w:val="auto"/>
              </w:rPr>
            </w:pPr>
          </w:p>
        </w:tc>
        <w:tc>
          <w:tcPr>
            <w:tcW w:w="20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subscription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license and other revenue</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240.8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24"/>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firstLine="405"/>
        <w:spacing w:after="0" w:line="256" w:lineRule="auto"/>
        <w:rPr>
          <w:sz w:val="20"/>
          <w:szCs w:val="20"/>
          <w:color w:val="auto"/>
        </w:rPr>
      </w:pPr>
      <w:r>
        <w:rPr>
          <w:rFonts w:ascii="Times New Roman" w:cs="Times New Roman" w:eastAsia="Times New Roman" w:hAnsi="Times New Roman"/>
          <w:sz w:val="18"/>
          <w:szCs w:val="18"/>
          <w:color w:val="auto"/>
        </w:rPr>
        <w:t>Effective in the first quarter of fiscal 2017, Autodesk adopted FASB's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for ASU 2015-05 were prospectively applied and did not have a material impact on Autodesk's consolidated financial statements.</w:t>
      </w:r>
    </w:p>
    <w:p>
      <w:pPr>
        <w:spacing w:after="0" w:line="188"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Effective in the first quarter of fiscal 2017, Autodesk adopted FASB's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were applied retrospectively by removing from the fair value hierarchy any investments for which fair value is measured using the net asset value per share practical expedient. Adoption did not have a material impact on Autodesk's consolidated financial statements.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Standards Update No. 2016-13 ("ASU 2016-13") regarding ASC Topic 326, "Financial Instruments - Credit Losses," which modifies the measurement of expected credit losses of certain financial instruments. The amendments will be effective for Autodesk's fiscal year beginning February 1, 2019 unless Autodesk elects early adoption. Autodesk does not believe ASU 2016-13 will have a material impact on its consolidated financial statements.</w:t>
      </w:r>
    </w:p>
    <w:p>
      <w:pPr>
        <w:spacing w:after="0" w:line="1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ASU 2016-02 will be effective for Autodesk’s fiscal year beginning February 1, 2019 unless Autodesk elects early adoption.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8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the FASB issued Accounting Standards Update No. 2015-14 to defer the effective date by one year with early adoption permitted as of the original effective date. ASU 2014-09 will be effective for Autodesk’s fiscal year beginning February 1, 2018 unless we elect the earlier date of February 1, 2017. In addition, the FASB issued Accounting Standards Update No. 2016-08, Accounting Standards Update No. 2016-10, and Accounting Standards Update No. 2016-12 in March 2016, April 2016, and May 2016, respectively, to help provide interpretive clarifications on the new guidance in ASC Topic 606. Autodesk is currently evaluating the accounting, transition, and disclosure requirements of the standard and cannot currently estimate the financial statement impact of adoption.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29"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0"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Total sales to the distributor Tech Data Corporation and its global affiliates (“Tech Data”) accounted for 31% and 30% of Autodesk’s total net revenue for the three and six months ended July 31, 2016, respectively, and 23% and 25% for the three and six months ended July 31, 2015, respectively. The majority of the net revenue from sales to Tech Data relates to Autodesk’s Architecture, Engineering and Construction (“AEC”) segment and is for sales made outside of the United States. In addition, Tech Data accounted for 31% and 22% of trade accounts receivable at July 31, 2016 and January 31, 2016, respectively.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76"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29"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amortized cost, gross unrealized gains, gross unrealized losses, and fair value by significant investment category as of July 31, 2016 and January 31, 2016:</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8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 (1):</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Custody cash deposit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Sovereign debt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Mutual funds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Sovereign debt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Convertible debt securities (2)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contracts (3)</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658.7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“available-for-sale” and included in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“Other assets,” or “Other accrued liabilities” in the accompanying Condensed Consolidated Balance Sheets.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January 31,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 (1):</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Custody cash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available-for-sale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Sovereign debt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Mutual funds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Sovereign debt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Convertible debt securities (2)</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contracts (3)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4"/>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2,310.6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“available-for-sale” and included in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“Other assets,” or “Other accrued liabilities” in the accompanying Condensed Consolidated Balance Sheets.</w:t>
      </w:r>
    </w:p>
    <w:p>
      <w:pPr>
        <w:spacing w:after="0" w:line="19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5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020" w:right="239" w:bottom="1440" w:gutter="0" w:footer="0" w:header="0"/>
        </w:sectPr>
      </w:pPr>
    </w:p>
    <w:bookmarkStart w:id="12" w:name="page13"/>
    <w:bookmarkEnd w:id="12"/>
    <w:p>
      <w:pPr>
        <w:ind w:right="120"/>
        <w:spacing w:after="0" w:line="258" w:lineRule="auto"/>
        <w:rPr>
          <w:sz w:val="20"/>
          <w:szCs w:val="20"/>
          <w:color w:val="auto"/>
        </w:rPr>
      </w:pPr>
      <w:r>
        <w:rPr>
          <w:rFonts w:ascii="Times New Roman" w:cs="Times New Roman" w:eastAsia="Times New Roman" w:hAnsi="Times New Roman"/>
          <w:sz w:val="18"/>
          <w:szCs w:val="18"/>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six months ended July 31, 2016.</w:t>
      </w:r>
    </w:p>
    <w:p>
      <w:pPr>
        <w:spacing w:after="0" w:line="18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change in Autodesk’s Level 3 items for the six months ended July 31, 2016 follows:</w:t>
      </w:r>
    </w:p>
    <w:p>
      <w:pPr>
        <w:spacing w:after="0" w:line="38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13335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Debt</w:t>
            </w: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January 31, 2016</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Purchases</w:t>
            </w:r>
          </w:p>
        </w:tc>
        <w:tc>
          <w:tcPr>
            <w:tcW w:w="10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Losses included in earnings</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Gains included in OCI</w:t>
            </w:r>
          </w:p>
        </w:tc>
        <w:tc>
          <w:tcPr>
            <w:tcW w:w="1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July 31,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Autodesk's “available-for-sale securities” classified by the contractual maturity date of the security: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within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556.9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506.7</w:t>
            </w: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r>
      <w:tr>
        <w:trPr>
          <w:trHeight w:val="24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5"/>
              </w:rPr>
              <w:t>1,061.5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1,065.0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of July 31, 2016 and January 31, 2016, Autodesk had no material securities, individually and in aggregate, in a continuous unrealized loss position for greater than twelve months.</w:t>
      </w:r>
    </w:p>
    <w:p>
      <w:pPr>
        <w:spacing w:after="0" w:line="162"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As of July 31, 2016 and January 31, 2016, Autodesk had $105.7 million and $104.3 million, respectively, in direct investments in privately held companies accounted for under the cost method, which are periodically assessed for other-than-temporary impairment.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80"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If Autodesk determines that an other-than-temporary impairment has occurred, Autodesk writes down the investment to its fair value. During the six months ended July 31, 2016 and 2015, Autodesk recorded $0.3 million and $0.2 million, respectively, in other-than-temporary impairment on its privately held equity investments.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sales or redemptions of “available-for-sale securities” during the six months ended July 31, 2016 and 2015 resulted in a gain of $0.4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respectively. Gains and losses resulting from the sale or redemption of "available-for-sale securities" are recorded in “Interest and 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on the Company's Condensed Consolidated Statements of Operations.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firstLine="405"/>
        <w:spacing w:after="0" w:line="282" w:lineRule="auto"/>
        <w:rPr>
          <w:sz w:val="20"/>
          <w:szCs w:val="20"/>
          <w:color w:val="auto"/>
        </w:rPr>
      </w:pPr>
      <w:r>
        <w:rPr>
          <w:rFonts w:ascii="Times New Roman" w:cs="Times New Roman" w:eastAsia="Times New Roman" w:hAnsi="Times New Roman"/>
          <w:sz w:val="18"/>
          <w:szCs w:val="18"/>
          <w:color w:val="auto"/>
        </w:rPr>
        <w:t>Proceeds from the sale and maturity of marketable securities for the six months ended July 31, 2016 and 2015 were $1,146.0 million and $728.0 million, respectively.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80"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Foreign currency contracts designated as cash flow hedges</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85"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net notional amounts of these contracts are presented net settled and were $445.7 million at July 31, 2016 and $142.4 million at January 31, 2016. Outstanding contracts are recognized as either assets or liabilities on the balance sheet at fair value. The majority of the net gain of $4.7 million remaining in “Accumulated other comprehensive loss” as of July 31, 2016 is expected to be recognized into earnings within the next twelve months.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$88.7 million at July 31, 2016 and $231.6 million at January 31, 2016.</w:t>
      </w:r>
    </w:p>
    <w:p>
      <w:pPr>
        <w:spacing w:after="0" w:line="18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July 31, 2016 and January 31, 2016:</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64"/>
        </w:trPr>
        <w:tc>
          <w:tcPr>
            <w:tcW w:w="5380" w:type="dxa"/>
            <w:vAlign w:val="bottom"/>
          </w:tcPr>
          <w:p>
            <w:pPr>
              <w:spacing w:after="0"/>
              <w:rPr>
                <w:sz w:val="22"/>
                <w:szCs w:val="22"/>
                <w:color w:val="auto"/>
              </w:rPr>
            </w:pPr>
          </w:p>
        </w:tc>
        <w:tc>
          <w:tcPr>
            <w:tcW w:w="29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5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53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84"/>
        </w:trPr>
        <w:tc>
          <w:tcPr>
            <w:tcW w:w="53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derivative assets</w:t>
            </w:r>
          </w:p>
        </w:tc>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44"/>
        </w:trPr>
        <w:tc>
          <w:tcPr>
            <w:tcW w:w="53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r>
      <w:tr>
        <w:trPr>
          <w:trHeight w:val="20"/>
        </w:trPr>
        <w:tc>
          <w:tcPr>
            <w:tcW w:w="5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six months ended July 31, 2016 and 2015 (amounts presented include any income tax effects):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7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21"/>
                <w:szCs w:val="21"/>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660" w:type="dxa"/>
            <w:vAlign w:val="bottom"/>
            <w:tcBorders>
              <w:bottom w:val="single" w:sz="8" w:color="CCEEFF"/>
            </w:tcBorders>
          </w:tcPr>
          <w:p>
            <w:pPr>
              <w:spacing w:after="0"/>
              <w:rPr>
                <w:sz w:val="22"/>
                <w:szCs w:val="22"/>
                <w:color w:val="auto"/>
              </w:rPr>
            </w:pPr>
          </w:p>
        </w:tc>
        <w:tc>
          <w:tcPr>
            <w:tcW w:w="67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60"/>
        </w:trPr>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w w:val="97"/>
                <w:shd w:val="clear" w:color="auto" w:fill="CCEEFF"/>
              </w:rPr>
              <w:t>Amount o</w:t>
            </w: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xml:space="preserve">f gain (loss) recognized </w:t>
            </w:r>
            <w:r>
              <w:rPr>
                <w:rFonts w:ascii="Times New Roman" w:cs="Times New Roman" w:eastAsia="Times New Roman" w:hAnsi="Times New Roman"/>
                <w:sz w:val="16"/>
                <w:szCs w:val="16"/>
                <w:i w:val="1"/>
                <w:iCs w:val="1"/>
                <w:color w:val="auto"/>
                <w:shd w:val="clear" w:color="auto" w:fill="CCEEFF"/>
              </w:rPr>
              <w:t>in accumulated other comprehensive income on derivatives (effective portion)</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Amount and location of gain (loss) reclassified from accumulated other comprehensive income into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(effective portion)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Amount and location of loss recognized in income on derivatives (ineffective portion and amount excluded from</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effectiveness testing)</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effects of derivatives not designated as hedging instruments on Autodesk’s Condensed Consolidated Statements of Operations were as follows for the three and six months ended July 31, 2016 and 2015 (amounts presented include any income tax effects):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Amount and location of (loss) gain recognized in income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0.7</w:t>
            </w: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15" w:name="page16"/>
    <w:bookmarkEnd w:id="15"/>
    <w:p>
      <w:pPr>
        <w:ind w:left="220" w:right="4760" w:hanging="212"/>
        <w:spacing w:after="0" w:line="503" w:lineRule="auto"/>
        <w:tabs>
          <w:tab w:leader="none" w:pos="184"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Stock-based Compensation Expense </w:t>
      </w:r>
      <w:r>
        <w:rPr>
          <w:rFonts w:ascii="Times New Roman" w:cs="Times New Roman" w:eastAsia="Times New Roman" w:hAnsi="Times New Roman"/>
          <w:sz w:val="18"/>
          <w:szCs w:val="18"/>
          <w:i w:val="1"/>
          <w:iCs w:val="1"/>
          <w:color w:val="auto"/>
        </w:rPr>
        <w:t>Restricted Stock Units:</w:t>
      </w:r>
    </w:p>
    <w:p>
      <w:pPr>
        <w:ind w:left="4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A summary of restricted stock unit activity for the six months ended July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Unvested restricted stock units at January 31, 2016</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Unvested restricted stock units at July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5"/>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7,739.6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51.80</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1,538.8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57.60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56.00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7,765.0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7620" w:space="720"/>
            <w:col w:w="3080"/>
          </w:cols>
          <w:pgMar w:left="240" w:top="576" w:right="2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-127635</wp:posOffset>
            </wp:positionV>
            <wp:extent cx="951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left="420" w:right="340" w:hanging="412"/>
        <w:spacing w:after="0" w:line="263" w:lineRule="auto"/>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2016 performance period. The performance stock units were attained at rates ranging from 86.1% to 98.0% of the target award.</w:t>
      </w:r>
    </w:p>
    <w:p>
      <w:pPr>
        <w:spacing w:after="0" w:line="172"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six months ended July 31, 2016 and 2015 was $57.2 million and $93.4 million, respectively.</w:t>
      </w:r>
    </w:p>
    <w:p>
      <w:pPr>
        <w:spacing w:after="0" w:line="22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July 31, 2016, Autodesk granted 1.1 million restricted stock units. Autodesk recorded stock-based compensation expense related to restricted stock units of $41.5 million and $28.0 million during the three months ended July 31, 2016 and 2015, respectively. Autodesk recorded stock-based compensation expense related to restricted stock units of $80.3 million and $65.8 million during the six months ended July 31, 2016 and 2015, respectively.</w:t>
      </w:r>
    </w:p>
    <w:p>
      <w:pPr>
        <w:spacing w:after="0" w:line="18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During the six months ended July 31, 2016, Autodesk granted 0.4 million performance stock units (“PSUs”) for which the ultimate number of shares earned is determined based on the achievement of performance criteria at the end of the stated service and performance period. The performance criteria for these grants are based upon net new model subscription additions, new model Annualized Recurring Revenue ("ARR"), non-GAAP total spend, and total subscription renewal rate goals ("FY17 performance criteria") adopted by the Compensation and Human Resource Committee, as well as total stockholder return compared against companies in the S&amp;P Computer Software Select Index (“Relative TSR”). Each PSU covers a three-year period:</w:t>
      </w:r>
    </w:p>
    <w:p>
      <w:pPr>
        <w:spacing w:after="0" w:line="184" w:lineRule="exact"/>
        <w:rPr>
          <w:sz w:val="20"/>
          <w:szCs w:val="20"/>
          <w:color w:val="auto"/>
        </w:rPr>
      </w:pPr>
    </w:p>
    <w:p>
      <w:pPr>
        <w:ind w:left="660" w:right="5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PSUs may vest following year one, depending upon the achievement of the FY17 performance criteria as well as 1-year Relative TSR (covering year one).</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PSUs may vest following year two, depending upon the achievement of the performance criteria for year two as well as 2-year Relative TSR (covering years one and two).</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PSUs may vest following year three, depending upon the achievement of the performance criteria for year three as well as 3-year Relative TSR (covering years one, two and three).</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PSUs are not considered outstanding stock at the time of grant, as the holders of these units are not entitled to any of the rights of a stockholder, including voting rights. Autodesk has determined the grant date fair value for these awards using a Monte Carlo simulation model since the awards are also subject to a market condition. The fair value of the PSUs is expensed using the accelerated attribution over the vesting period. Autodesk recorded stock-based compensation expense related to PSUs of $5.9 million for both the three months ended July 31, 2016 and 2015. Autodesk recorded stock-based compensation expense related to PSUs of $12.2 million and $11.5 million for the six months ended July 31, 2016 and 2015, respectively.</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2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Under Autodesk’s ESPP, which was approved by stockholders in 1998, eligible employees may purchase shares of Autodesk’s common stock at their discretion using up to 15% of their eligible compensation, subject to certain limitations,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type w:val="continuous"/>
        </w:sectPr>
      </w:pPr>
    </w:p>
    <w:bookmarkStart w:id="16" w:name="page17"/>
    <w:bookmarkEnd w:id="16"/>
    <w:p>
      <w:pPr>
        <w:ind w:right="300"/>
        <w:spacing w:after="0" w:line="282" w:lineRule="auto"/>
        <w:rPr>
          <w:sz w:val="20"/>
          <w:szCs w:val="20"/>
          <w:color w:val="auto"/>
        </w:rPr>
      </w:pPr>
      <w:r>
        <w:rPr>
          <w:rFonts w:ascii="Times New Roman" w:cs="Times New Roman" w:eastAsia="Times New Roman" w:hAnsi="Times New Roman"/>
          <w:sz w:val="18"/>
          <w:szCs w:val="18"/>
          <w:color w:val="auto"/>
        </w:rPr>
        <w:t>85% of the lower of Autodesk's closing price (fair market value) on the offering date or the exercise date. The offering period for ESPP awards consists of four, six-month exercise periods within a 24-month offering period.</w:t>
      </w:r>
    </w:p>
    <w:p>
      <w:pPr>
        <w:spacing w:after="0" w:line="16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Autodesk issued 1.2 million and 1.1 million shares under the ESPP during the six months ended July 31, 2016 and 2015, respectively, with an average price of $36.67 and $36.91 per share, respectively. The weighted average grant date fair value of awards granted under the ESPP was $17.88 and $15.99 during the six months ended July 31, 2016 and 2015, respectively, calculated as of the award grant date using the Black-Scholes Merton (“BSM") option pricing model.</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for the three and six months ended July 31, 2016 and 2015, respectively,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60" w:type="dxa"/>
            <w:vAlign w:val="bottom"/>
            <w:tcBorders>
              <w:bottom w:val="single" w:sz="8" w:color="auto"/>
            </w:tcBorders>
          </w:tcPr>
          <w:p>
            <w:pPr>
              <w:spacing w:after="0"/>
              <w:rPr>
                <w:sz w:val="16"/>
                <w:szCs w:val="16"/>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35"/>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subscription</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license and other revenue</w:t>
            </w:r>
          </w:p>
        </w:tc>
        <w:tc>
          <w:tcPr>
            <w:tcW w:w="8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r>
      <w:tr>
        <w:trPr>
          <w:trHeight w:val="33"/>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r>
      <w:tr>
        <w:trPr>
          <w:trHeight w:val="21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r>
      <w:tr>
        <w:trPr>
          <w:trHeight w:val="33"/>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(10.5)</w:t>
            </w:r>
          </w:p>
        </w:tc>
      </w:tr>
      <w:tr>
        <w:trPr>
          <w:trHeight w:val="21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 net of tax</w:t>
            </w:r>
          </w:p>
        </w:tc>
        <w:tc>
          <w:tcPr>
            <w:tcW w:w="840" w:type="dxa"/>
            <w:vAlign w:val="bottom"/>
            <w:tcBorders>
              <w:top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r>
      <w:tr>
        <w:trPr>
          <w:trHeight w:val="33"/>
        </w:trPr>
        <w:tc>
          <w:tcPr>
            <w:tcW w:w="84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543"/>
        </w:trPr>
        <w:tc>
          <w:tcPr>
            <w:tcW w:w="844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60" w:type="dxa"/>
            <w:vAlign w:val="bottom"/>
            <w:tcBorders>
              <w:bottom w:val="single" w:sz="8" w:color="auto"/>
            </w:tcBorders>
          </w:tcPr>
          <w:p>
            <w:pPr>
              <w:spacing w:after="0"/>
              <w:rPr>
                <w:sz w:val="24"/>
                <w:szCs w:val="24"/>
                <w:color w:val="auto"/>
              </w:rPr>
            </w:pPr>
          </w:p>
        </w:tc>
      </w:tr>
      <w:tr>
        <w:trPr>
          <w:trHeight w:val="269"/>
        </w:trPr>
        <w:tc>
          <w:tcPr>
            <w:tcW w:w="844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shd w:val="clear" w:color="auto" w:fill="CCEEFF"/>
          </w:tcPr>
          <w:p>
            <w:pPr>
              <w:spacing w:after="0"/>
              <w:rPr>
                <w:sz w:val="23"/>
                <w:szCs w:val="23"/>
                <w:color w:val="auto"/>
              </w:rPr>
            </w:pPr>
          </w:p>
        </w:tc>
      </w:tr>
      <w:tr>
        <w:trPr>
          <w:trHeight w:val="21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subscription</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license and other revenue</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w:t>
            </w:r>
          </w:p>
        </w:tc>
      </w:tr>
      <w:tr>
        <w:trPr>
          <w:trHeight w:val="33"/>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r>
      <w:tr>
        <w:trPr>
          <w:trHeight w:val="33"/>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90.9</w:t>
            </w:r>
          </w:p>
        </w:tc>
      </w:tr>
      <w:tr>
        <w:trPr>
          <w:trHeight w:val="217"/>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(24.5)</w:t>
            </w:r>
          </w:p>
        </w:tc>
      </w:tr>
      <w:tr>
        <w:trPr>
          <w:trHeight w:val="33"/>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5"/>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 net of tax</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lives (in years)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risk-free interest rates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July 31, 2016</w:t>
            </w:r>
          </w:p>
        </w:tc>
        <w:tc>
          <w:tcPr>
            <w:tcW w:w="120" w:type="dxa"/>
            <w:vAlign w:val="bottom"/>
          </w:tcPr>
          <w:p>
            <w:pPr>
              <w:spacing w:after="0"/>
              <w:rPr>
                <w:sz w:val="16"/>
                <w:szCs w:val="16"/>
                <w:color w:val="auto"/>
              </w:rPr>
            </w:pPr>
          </w:p>
        </w:tc>
        <w:tc>
          <w:tcPr>
            <w:tcW w:w="3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July 31, 2015</w:t>
            </w:r>
          </w:p>
        </w:tc>
        <w:tc>
          <w:tcPr>
            <w:tcW w:w="0" w:type="dxa"/>
            <w:vAlign w:val="bottom"/>
          </w:tcPr>
          <w:p>
            <w:pPr>
              <w:spacing w:after="0"/>
              <w:rPr>
                <w:sz w:val="1"/>
                <w:szCs w:val="1"/>
                <w:color w:val="auto"/>
              </w:rPr>
            </w:pPr>
          </w:p>
        </w:tc>
      </w:tr>
      <w:tr>
        <w:trPr>
          <w:trHeight w:val="149"/>
        </w:trPr>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Stock Unit</w:t>
            </w:r>
          </w:p>
        </w:tc>
        <w:tc>
          <w:tcPr>
            <w:tcW w:w="17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5"/>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6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38.4 - 38.6%</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35.0 - 40.2%</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27.7 - 28.2%</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0.6 - 0.7%</w:t>
            </w:r>
          </w:p>
        </w:tc>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0.5 - 0.9%</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0.1 - 0.6%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-664210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-321310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620"/>
          </w:cols>
          <w:pgMar w:left="240" w:top="580" w:right="239" w:bottom="1440" w:gutter="0" w:footer="0" w:header="0"/>
          <w:type w:val="continuous"/>
        </w:sectPr>
      </w:pPr>
    </w:p>
    <w:p>
      <w:pPr>
        <w:spacing w:after="0" w:line="3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w:t>
      </w:r>
    </w:p>
    <w:p>
      <w:pPr>
        <w:sectPr>
          <w:pgSz w:w="11900" w:h="16838" w:orient="portrait"/>
          <w:cols w:equalWidth="0" w:num="1">
            <w:col w:w="11420"/>
          </w:cols>
          <w:pgMar w:left="240" w:top="580"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type w:val="continuous"/>
        </w:sectPr>
      </w:pPr>
    </w:p>
    <w:bookmarkStart w:id="17" w:name="page18"/>
    <w:bookmarkEnd w:id="17"/>
    <w:p>
      <w:pPr>
        <w:ind w:right="40"/>
        <w:spacing w:after="0" w:line="282" w:lineRule="auto"/>
        <w:rPr>
          <w:sz w:val="20"/>
          <w:szCs w:val="20"/>
          <w:color w:val="auto"/>
        </w:rPr>
      </w:pPr>
      <w:r>
        <w:rPr>
          <w:rFonts w:ascii="Times New Roman" w:cs="Times New Roman" w:eastAsia="Times New Roman" w:hAnsi="Times New Roman"/>
          <w:sz w:val="18"/>
          <w:szCs w:val="18"/>
          <w:color w:val="auto"/>
        </w:rPr>
        <w:t>forward call options to purchase shares of the Company’s common stock. The expected volatility for PSUs subject to market conditions includes the expected volatility of Autodesk's peer companies within the S&amp;P Computer Software Select Index.</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As permitted by ASU 2016-09, Autodesk has elected to account for forfeitures of our stock-based awards as those forfeitures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Autodesk's income tax expense was $25.2 million and $269.5 million for the three months ended July 31, 2016 and 2015, respectively, relative to a pre-tax loss of $73.0 million and pre-tax income of $0.9 million, respectively, for the same periods. Autodesk's income tax expense was $39.6 million and $272.2 million for the six months ended July 31, 2016 and 2015, respectively, relative to a pre-tax loss of $226.3 million and pre-tax income of $22.7 million, respectively, for the same periods. The decrease in income tax expense was primarily due to the valuation allowance that was established during the three months ended July 31, 2015. Income tax expense consists primarily of foreign taxes and U.S. tax expense related to indefinite-lived intangibles.</w:t>
      </w:r>
    </w:p>
    <w:p>
      <w:pPr>
        <w:spacing w:after="0" w:line="18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deferred tax assets in the three months ended July 31, 2015. Subsequently, Autodesk determined that it had understated income tax expense by $33.1 million for the three and six months ended July 31, 2015, primarily related to an error in the establishment of the valuation allowance, which had been understated at July 31, 2015. Autodesk evaluated the materiality of the error, quantitatively and qualitatively, and concluded it was not material to the Company’s condensed consolidated financial statements for the quarter ended July 31, 2015 but chose to correct the error by revising the previously reported results for the three and six months ended July 31, 2015.</w:t>
      </w:r>
    </w:p>
    <w:p>
      <w:pPr>
        <w:spacing w:after="0" w:line="18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adjusting the condensed consolidated income statement balances presented for the three and six months ended July 31, 2015:</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50"/>
        </w:trPr>
        <w:tc>
          <w:tcPr>
            <w:tcW w:w="50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2015</w:t>
            </w:r>
          </w:p>
        </w:tc>
      </w:tr>
      <w:tr>
        <w:trPr>
          <w:trHeight w:val="23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38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July 31, 2015</w:t>
            </w:r>
          </w:p>
        </w:tc>
        <w:tc>
          <w:tcPr>
            <w:tcW w:w="2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24"/>
                <w:szCs w:val="24"/>
                <w:color w:val="auto"/>
              </w:rPr>
            </w:pPr>
          </w:p>
        </w:tc>
        <w:tc>
          <w:tcPr>
            <w:tcW w:w="2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Six Months Ended July 31, 2015</w:t>
            </w:r>
          </w:p>
        </w:tc>
      </w:tr>
      <w:tr>
        <w:trPr>
          <w:trHeight w:val="23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impact of adjusting the Condensed Consolidated Balance Sheet balances as of July 31, 2015:</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50"/>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1"/>
                <w:szCs w:val="21"/>
                <w:color w:val="auto"/>
              </w:rPr>
            </w:pP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Pr>
          <w:p>
            <w:pPr>
              <w:spacing w:after="0"/>
              <w:rPr>
                <w:sz w:val="21"/>
                <w:szCs w:val="21"/>
                <w:color w:val="auto"/>
              </w:rPr>
            </w:pPr>
          </w:p>
        </w:tc>
        <w:tc>
          <w:tcPr>
            <w:tcW w:w="184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July 31, 2015</w:t>
            </w:r>
          </w:p>
        </w:tc>
      </w:tr>
      <w:tr>
        <w:trPr>
          <w:trHeight w:val="235"/>
        </w:trPr>
        <w:tc>
          <w:tcPr>
            <w:tcW w:w="20" w:type="dxa"/>
            <w:vAlign w:val="bottom"/>
          </w:tcPr>
          <w:p>
            <w:pPr>
              <w:spacing w:after="0"/>
              <w:rPr>
                <w:sz w:val="20"/>
                <w:szCs w:val="20"/>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tax liabilities (1)</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9.5</w:t>
            </w:r>
          </w:p>
        </w:tc>
      </w:tr>
      <w:tr>
        <w:trPr>
          <w:trHeight w:val="237"/>
        </w:trPr>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20"/>
                <w:szCs w:val="20"/>
                <w:color w:val="auto"/>
              </w:rPr>
            </w:pPr>
          </w:p>
        </w:tc>
        <w:tc>
          <w:tcPr>
            <w:tcW w:w="2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54.0</w:t>
            </w:r>
          </w:p>
        </w:tc>
      </w:tr>
      <w:tr>
        <w:trPr>
          <w:trHeight w:val="237"/>
        </w:trPr>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income tax payable</w:t>
            </w:r>
          </w:p>
        </w:tc>
        <w:tc>
          <w:tcPr>
            <w:tcW w:w="280" w:type="dxa"/>
            <w:vAlign w:val="bottom"/>
          </w:tcPr>
          <w:p>
            <w:pPr>
              <w:spacing w:after="0"/>
              <w:rPr>
                <w:sz w:val="20"/>
                <w:szCs w:val="20"/>
                <w:color w:val="auto"/>
              </w:rPr>
            </w:pPr>
          </w:p>
        </w:tc>
        <w:tc>
          <w:tcPr>
            <w:tcW w:w="2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160.2</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131.3</w:t>
            </w:r>
          </w:p>
        </w:tc>
      </w:tr>
      <w:tr>
        <w:trPr>
          <w:trHeight w:val="22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ind w:left="420" w:hanging="412"/>
        <w:spacing w:after="0"/>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17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of July 31, 2016, the Company had $261.6 million of gross unrecognized tax benefits, excluding interest, of which approximately $246.9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4"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July 31, 2016, the Company proposed a settlement of a tax audit in China covering certain transfer pricing matters from 2004-2013. The settlement is currently under review by the State Administration of Taxation. The estimated tax liability, including interest, is approximately $11.4 million for the years under audit and calendar years 2014 and 2015. The Company accrued this tax liability during the three months ended July 31, 2016.</w:t>
      </w:r>
    </w:p>
    <w:p>
      <w:pPr>
        <w:spacing w:after="0" w:line="18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Internal Revenue Service has notified the Company that it intends to begin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to be examined.</w:t>
      </w:r>
    </w:p>
    <w:p>
      <w:pPr>
        <w:spacing w:after="0" w:line="17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July 31, 2016, Autodesk completed several business combinations and technology acquisitions for total cash consideration of approximately $87.0 million. Pro forma results of operations have not been presented because the effects of the acquisitions, individually and in the aggregate, were not material to Autodesk’s Condensed Consolidated Financial Statements.</w:t>
      </w:r>
    </w:p>
    <w:p>
      <w:pPr>
        <w:spacing w:after="0" w:line="17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0"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by major class for the business combinations and technology acquisitions completed during the six months ended July 31, 2016:</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235"/>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Developed technologies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r>
      <w:tr>
        <w:trPr>
          <w:trHeight w:val="237"/>
        </w:trPr>
        <w:tc>
          <w:tcPr>
            <w:tcW w:w="10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 and other non-current intangible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10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62.8</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revenue (current and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10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liability</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r>
      <w:tr>
        <w:trPr>
          <w:trHeight w:val="244"/>
        </w:trPr>
        <w:tc>
          <w:tcPr>
            <w:tcW w:w="10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87.0</w:t>
            </w: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 and the valuation of certain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Other Intangible Assets, Net</w:t>
      </w:r>
    </w:p>
    <w:p>
      <w:pPr>
        <w:spacing w:after="0" w:line="229"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Other intangible assets including developed technologies, customer relationships, trade names, patents, user lists and the related accumulated amortization were as follows:</w:t>
      </w:r>
    </w:p>
    <w:p>
      <w:pPr>
        <w:sectPr>
          <w:pgSz w:w="11900" w:h="16870" w:orient="portrait"/>
          <w:cols w:equalWidth="0" w:num="1">
            <w:col w:w="11420"/>
          </w:cols>
          <w:pgMar w:left="240" w:top="580" w:right="239" w:bottom="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222"/>
        </w:trPr>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587.6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571.4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371.6</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972.4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943.0</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2">
            <w:col w:w="7620" w:space="720"/>
            <w:col w:w="3080"/>
          </w:cols>
          <w:pgMar w:left="240" w:top="580" w:right="239"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assets”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19"/>
          </w:cols>
          <w:pgMar w:left="240" w:top="12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the carrying amount of goodwill by reportable segment during the six months ended July 31, 2016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Platform</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Architecture,</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Solutions and</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Engineering</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Media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Entertainment</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as of January 31, 2016</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386.9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427.2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1,535.0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 arising from other acquisitions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foreign currency translation, purchase accounting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adjustments, and other</w:t>
            </w:r>
          </w:p>
        </w:tc>
        <w:tc>
          <w:tcPr>
            <w:tcW w:w="16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as of July 31, 2016</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429.2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624.0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1,597.4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The company has established reporting units based upon its current reporting structure.</w:t>
      </w:r>
    </w:p>
    <w:p>
      <w:pPr>
        <w:spacing w:after="0" w:line="17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8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Deferred Compensation</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At July 31, 2016, Autodesk had marketable securities totaling $1.1 billion, of which $45.6 million related to investments in debt and equity securities that are held in a rabbi trust under non-qualified deferred compensation plans. The total related deferred compensation liability was $45.6 million at July 31, 2016, of which $2.1 million was classified as current and $43.5 million was classified as non-current liabilities. The total related deferred compensation liability at January 31, 2016 was $38.0 million, of which $1.9 million was classified as current and $36.1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11. Computer Equipment, Software, Furniture and Leasehold Improvements,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235"/>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550.2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Borrowing Arrangements</w:t>
      </w:r>
    </w:p>
    <w:p>
      <w:pPr>
        <w:spacing w:after="0" w:line="229" w:lineRule="exact"/>
        <w:rPr>
          <w:sz w:val="20"/>
          <w:szCs w:val="20"/>
          <w:color w:val="auto"/>
        </w:rPr>
      </w:pPr>
    </w:p>
    <w:p>
      <w:pPr>
        <w:jc w:val="both"/>
        <w:ind w:right="220" w:firstLine="405"/>
        <w:spacing w:after="0" w:line="255" w:lineRule="auto"/>
        <w:rPr>
          <w:sz w:val="20"/>
          <w:szCs w:val="20"/>
          <w:color w:val="auto"/>
        </w:rPr>
      </w:pPr>
      <w:r>
        <w:rPr>
          <w:rFonts w:ascii="Times New Roman" w:cs="Times New Roman" w:eastAsia="Times New Roman" w:hAnsi="Times New Roman"/>
          <w:sz w:val="18"/>
          <w:szCs w:val="18"/>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$791.8 million as of July 31, 2016.</w:t>
      </w:r>
    </w:p>
    <w:p>
      <w:pPr>
        <w:spacing w:after="0" w:line="18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2012 Notes was approximately $763.1 million as of July 31, 2016.</w:t>
      </w:r>
    </w:p>
    <w:p>
      <w:pPr>
        <w:spacing w:after="0" w:line="18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The line of credit is syndicated with various financial institutions, including Citibank, N.A., an affiliate of Citigroup, which is one of the lead lenders and an agent. The maturity date on the line of credit is May 2020. At July 31, 2016, Autodesk was in compliance with the credit facility's covenants and had no outstanding borrowings on this line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Restructuring charges and other facility exit costs, net</w:t>
      </w:r>
    </w:p>
    <w:p>
      <w:pPr>
        <w:spacing w:after="0" w:line="3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February 2016, the Board of Directors approved a world-wide restructuring plan (“Fiscal 2017 Plan”) in order to re-balance staffing levels and reduce operating expenses to better align them with the evolving needs of the business. The Company's Fiscal 2017 Plan consist of employee termination benefits related to the reduction of its workforce with expected costs of approximately $69.0 million, and lease terminations and other exit costs expected to be approximately $10.0 million.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92" w:right="23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July 31, 2016, restructuring charges under the Fiscal 2017 Plan included $8.0 million and $55.7 million in employee termination benefits, respectively, and $0.6 million and $5.2 million in other facility exit costs, respectively. Additionally, during the three and six months ended July 31, 2016, we incurred $7.4 million in lease termination costs not related to the Fiscal 2017 Plan. Other costs primarily consist of legal, consulting, and other costs related to employee terminations and are expensed when incurred.</w:t>
      </w:r>
    </w:p>
    <w:p>
      <w:pPr>
        <w:spacing w:after="0" w:line="18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expects to pay substantially all of the employee termination benefits and facility related liabilities under the Fiscal 2017 Plan by the end of fiscal 2017.</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restructuring charges and other facility exit costs during the six months ended July 31,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31,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3"/>
                <w:szCs w:val="1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Balance at July 31,</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Fiscal 2017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 termination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4"/>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Other Lease Termination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 termination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73"/>
        </w:trPr>
        <w:tc>
          <w:tcPr>
            <w:tcW w:w="36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6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include the impact of computer equipment, software, furniture, straight-line rent and leasehold improvement write-offs, and foreign currency translation.</w:t>
      </w:r>
    </w:p>
    <w:p>
      <w:pPr>
        <w:spacing w:after="0" w:line="9" w:lineRule="exact"/>
        <w:rPr>
          <w:rFonts w:ascii="Times New Roman" w:cs="Times New Roman" w:eastAsia="Times New Roman" w:hAnsi="Times New Roman"/>
          <w:sz w:val="16"/>
          <w:szCs w:val="16"/>
          <w:color w:val="auto"/>
        </w:rPr>
      </w:pPr>
    </w:p>
    <w:p>
      <w:pPr>
        <w:ind w:left="420" w:right="60" w:hanging="412"/>
        <w:spacing w:after="0" w:line="257"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and non-current portions of the reserve are recorded in the Condensed Consolidated Balance Sheets under “Other accrued liabilities” and “Other liabilities,”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Commitments and Contingencies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580" w:right="279" w:bottom="1440" w:gutter="0" w:footer="0" w:header="0"/>
        </w:sectPr>
      </w:pPr>
    </w:p>
    <w:bookmarkStart w:id="23" w:name="page24"/>
    <w:bookmarkEnd w:id="23"/>
    <w:p>
      <w:pPr>
        <w:ind w:right="60"/>
        <w:spacing w:after="0" w:line="256" w:lineRule="auto"/>
        <w:rPr>
          <w:sz w:val="20"/>
          <w:szCs w:val="20"/>
          <w:color w:val="auto"/>
        </w:rPr>
      </w:pPr>
      <w:r>
        <w:rPr>
          <w:rFonts w:ascii="Times New Roman" w:cs="Times New Roman" w:eastAsia="Times New Roman" w:hAnsi="Times New Roman"/>
          <w:sz w:val="18"/>
          <w:szCs w:val="18"/>
          <w:color w:val="auto"/>
        </w:rPr>
        <w:t>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Common Stock Repurchase Program</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six months ended July 31, 2016, Autodesk repurchased and retired 3.0 million and 4.8 million shares at an average repurchase price of $55.88 and $56.20 per share, respectively. Common stock and additional paid-in capital and retained earnings were reduced by $65.8 million and $104.1 million, respectively, during the three months ended July 31, 2016. Common stock and additional paid-in capital and retained earnings were reduced by $111.5 million and $158.5 million, respectively, during the six months ended July 31, 2016.</w:t>
      </w:r>
    </w:p>
    <w:p>
      <w:pPr>
        <w:spacing w:after="0" w:line="188"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At July 31, 2016, 1.5 million shares remained available for repurchase under the repurchase program approved by the Board of Directors. During the six months ended July 31, 2016,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Accumulated Other Comprehensive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July 31,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January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July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Loss Per Share</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8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20" w:type="dxa"/>
            <w:vAlign w:val="bottom"/>
          </w:tcPr>
          <w:p>
            <w:pPr>
              <w:spacing w:after="0"/>
              <w:rPr>
                <w:sz w:val="13"/>
                <w:szCs w:val="13"/>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July</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basic net loss per share—weighted average shares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dilutive securities (1)</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dilutive net loss per share</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223.8</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Basic net loss per share</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Diluted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52"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dilutive securities of 4.2 million shares and 4.1 million shares for the three months ended July 31, 2016 and 2015, respectively, have been excluded from the calculation of diluted net loss per share as those shares would have been anti-dilutive due to the net loss incurred during those periods. The effect of dilutive securities of 4.0 million and 4.5 million shares for the six months ended July 31, 2016 and 2015, respectively, have been excluded from the calculation of diluted net loss per share as those shares would have been anti-dilutive due to the net loss incurred during those periods.</w:t>
      </w:r>
    </w:p>
    <w:p>
      <w:pPr>
        <w:spacing w:after="0" w:line="18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July 31, 2016, no potentially anti-dilutive shares were excluded from the computation of diluted net loss per share. For the three months ended July 31, 2015, 0.6 million potentially anti-dilutive shares were excluded from the computation of diluted net loss per share. For both the six months ended July 31, 2016 and 2015, 0.1 million potentially anti-dilutive shares were excluded from the computation of diluted net loss per share,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Segments</w:t>
      </w:r>
    </w:p>
    <w:p>
      <w:pPr>
        <w:spacing w:after="0" w:line="2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AEC, Manufacturing ("MFG"), Platform Solutions and Emerging Business ("PSEB"), and Media and Entertainment ("M&amp;E"). Autodesk has no material inter-segment revenue.</w:t>
      </w:r>
    </w:p>
    <w:p>
      <w:pPr>
        <w:spacing w:after="0" w:line="18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AEC, MFG, and PSEB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Infrastructure Design Suites, AutoCAD Civil 3D, AutoCAD Map 3D, and AutoCAD Architecture.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Autodesk Delcam products, AutoCAD Mechanical, and Autodesk Moldflow products.</w:t>
      </w:r>
    </w:p>
    <w:p>
      <w:pPr>
        <w:spacing w:after="0" w:line="184" w:lineRule="exact"/>
        <w:rPr>
          <w:sz w:val="20"/>
          <w:szCs w:val="20"/>
          <w:color w:val="auto"/>
        </w:rPr>
      </w:pPr>
    </w:p>
    <w:p>
      <w:pPr>
        <w:ind w:right="600" w:firstLine="405"/>
        <w:spacing w:after="0" w:line="261" w:lineRule="auto"/>
        <w:rPr>
          <w:sz w:val="20"/>
          <w:szCs w:val="20"/>
          <w:color w:val="auto"/>
        </w:rPr>
      </w:pPr>
      <w:r>
        <w:rPr>
          <w:rFonts w:ascii="Times New Roman" w:cs="Times New Roman" w:eastAsia="Times New Roman" w:hAnsi="Times New Roman"/>
          <w:sz w:val="18"/>
          <w:szCs w:val="18"/>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55" w:lineRule="auto"/>
        <w:rPr>
          <w:sz w:val="20"/>
          <w:szCs w:val="20"/>
          <w:color w:val="auto"/>
        </w:rPr>
      </w:pPr>
      <w:r>
        <w:rPr>
          <w:rFonts w:ascii="Times New Roman" w:cs="Times New Roman" w:eastAsia="Times New Roman" w:hAnsi="Times New Roman"/>
          <w:sz w:val="18"/>
          <w:szCs w:val="18"/>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8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M&amp;E provides content creators in film, television, commercials, video games, design visualization and VR the tools needed to connect artists together so they can create the world’s most engaging visual content. M&amp;E products run on the desktop, on mobile devices, and in the cloud and cover a broad range of capabilities including conceptualization, modeling, animation, visual effects, collaboration, authoring, and rendering. Key products include Maya and 3ds Max, which are used extensively for 3D modeling and animation in the world’s most famous movies, TV shows, and video games; Flame, for visual effects, finishing and color grading in commercials, film &amp; television; MotionBuilder, for 3D character animation software in virtual production; Stingray, a real-time 3D game engine for creating video games, interactive &amp; immersive experiences; Shotgun, a cloud platform for enabling collaboration and production management; Sketchbook &amp; Graphic for concept design and illustration; and Arnold rendering software that offers advanced, efficient, high-quality rendering capabilities that are scalable to the cloud.</w:t>
      </w:r>
    </w:p>
    <w:p>
      <w:pPr>
        <w:spacing w:after="0" w:line="18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All of Autodesk’s reportable segments distribute their respective products primarily through authorized resellers and distributors and, to a lesser extent, through direct sales to end-users.</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 “Business and Summary of Significant Accounting Policies” of Autodesk's Annual Report on Form 10-K for the fiscal year ended January 31, 2016. Autodesk evaluates each segment’s performance on the basis of gross profit. Autodesk currently does not separately accumulate and report asset information by segment, except for goodwill, which is disclosed in Note 9, “Goodwill.”</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concerning the operations of Autodesk’s reportable segments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19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Platform Solutions and Emerging Business</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Media and Entertainment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550.7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1,256.0</w:t>
            </w:r>
          </w:p>
        </w:tc>
        <w:tc>
          <w:tcPr>
            <w:tcW w:w="0" w:type="dxa"/>
            <w:vAlign w:val="bottom"/>
          </w:tcPr>
          <w:p>
            <w:pPr>
              <w:spacing w:after="0"/>
              <w:rPr>
                <w:sz w:val="1"/>
                <w:szCs w:val="1"/>
                <w:color w:val="auto"/>
              </w:rPr>
            </w:pPr>
          </w:p>
        </w:tc>
      </w:tr>
      <w:tr>
        <w:trPr>
          <w:trHeight w:val="73"/>
        </w:trPr>
        <w:tc>
          <w:tcPr>
            <w:tcW w:w="69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426.5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Platform Solutions and Emerging Business</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Media and Entertainment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Unallocated (1)</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1,071.2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t>Information regarding Autodesk’s operations by geographic area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19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64"/>
        </w:trPr>
        <w:tc>
          <w:tcPr>
            <w:tcW w:w="69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69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24"/>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394.1</w:t>
            </w: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85.6</w:t>
            </w: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Americas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479.7</w:t>
            </w:r>
          </w:p>
        </w:tc>
      </w:tr>
      <w:tr>
        <w:trPr>
          <w:trHeight w:val="21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471.1</w:t>
            </w: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Asia Pacific</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69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Japan</w:t>
            </w:r>
          </w:p>
        </w:tc>
        <w:tc>
          <w:tcPr>
            <w:tcW w:w="16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115.8</w:t>
            </w: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Asia Pacific</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189.4</w:t>
            </w:r>
          </w:p>
        </w:tc>
      </w:tr>
      <w:tr>
        <w:trPr>
          <w:trHeight w:val="21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Asia Pacific</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305.2</w:t>
            </w: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7" w:name="page28"/>
    <w:bookmarkEnd w:id="2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Six Months Ended July 31, 2016 and 2015” and “Business Outlook” below, anticipated future net revenue, future GAAP and non-GAAP net (loss) income per share, operating margin, operating expenses, billings,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and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remediations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Autodesk’s vision is to help people imagine, design, and create a better world. We do this by developing software and services for the world’s designers, architects, engineers, digital artists, professionals, and non-professionals alike— who design and make the world's places (architecture, engineering, and construction), things (manufacturing), and media (games and digital entertainment).</w:t>
      </w:r>
    </w:p>
    <w:p>
      <w:pPr>
        <w:spacing w:after="0" w:line="17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represent a hybrid of desktop software and SaaS functionality, which provides a device-independent, collaborative design workflow for designers and their stakeholders. Our cloud service offerings, for example, Autodesk BIM 360, Fusion 360, and AutoCAD 360 Pro,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Our strategy is to lead the industries we serve to cloud-based technologies and business models. This entails both a technological shift and a business model shift. We now offer term-based product subscriptions for individual products and industry collections, cloud service offerings, and flexible enterprise business agreements ("new model subscription offerings"). These offerings are designed to give our customers more flexibility with how they use our products and service offerings and to address new types of customers such as project-based users and small businesses. As part of this transition, we discontinued selling new perpetual licenses of most individual software products effective February 1, 2016, and discontinued selling new perpetual licenses of suites effective August 1,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76" w:right="259" w:bottom="1440" w:gutter="0" w:footer="0" w:header="0"/>
        </w:sectPr>
      </w:pPr>
    </w:p>
    <w:bookmarkStart w:id="28" w:name="page29"/>
    <w:bookmarkEnd w:id="28"/>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With the discontinuation of the sale of most perpetual licenses, we have accelerated our transition away from selling a hybrid of perpetual licenses and term-based product subscriptions toward a single subscription model. During the transition, revenue, gross margin, operating margin, earnings (loss) per share, deferred revenue, billings, and cash flow from operations will be impacted as more revenue is recognized ratably rather than up front and as new offerings bring a wider variety of price points.</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As we progress through the business model transition, billings and reported revenue are less relevant to measure the success of the business as perpetual license sales are discontinued in favor of subscription offerings, which have considerably lower up-front prices. Annualized recurring revenue ("ARR") and growth of subscriptions will better reflect business momentum and provide additional transparency into the transition. To further analyze progress, we will also disaggregate our growth in these metrics between the original maintenance model ("maintenance") and the new model subscription offerings. We expect maintenance subscriptions to peak as perpetual license sales end this year, and we expect them to decline slowly over time.</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Autodesk sells our products and services globally, through a combination of indirect and direct channels. During the three months ended July 31, 2016 and 2015, our indirect channels, which include value added resellers, direct market resellers, distributors, computer manufacturers, and other software developers, were responsible for 75% and 80% of our overall revenue, respectively. During the same periods, our direct channels, which include sales resources dedicated to selling in our largest accounts, our highly specialized products, and business transacted through our company estore, were responsible for 25% and 20% of our overall revenue, respectively. During the six months ended July 31, 2016 and 2015, our indirect channels, which include value added resellers, direct market resellers, distributors, computer manufacturers, and other software developers, were responsible for 75% and 81% of our overall revenue, respectively. During the same periods, our direct channels, which include sales resources dedicated to selling in our largest accounts, our highly specialized products, and business transacted through our company estore, were responsible for 25% and 19% of our overall revenue, respectively.</w:t>
      </w:r>
    </w:p>
    <w:p>
      <w:pPr>
        <w:spacing w:after="0" w:line="18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particularly as we scale our digitally transacted e-store business and our largest accounts shift towards direct-only business models. Importantly, our indirect channel will continue to transact and support the majority of our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Spark program to support ideas that push the boundaries of 3D printing and nurture the companies that will advance innovations within 3D printing hardware and software. We have also created the Autodesk Forge program to support innovators that build solutions to facilitate the development of a single connected ecosystem for the future of how things are designed, made, and used.</w:t>
      </w:r>
    </w:p>
    <w:p>
      <w:pPr>
        <w:spacing w:after="0" w:line="18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Autodesk is committed to helping fuel a lifelong passion for design in students of all ages. We offer free educational licenses of Autodesk</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In fiscal 2016, we also made Autodesk Design Academy curricula available on iTunes U. Our intention is to make Autodesk software ubiquitous and the design software of choice for those poised to become the next generation of professional users.</w:t>
      </w:r>
    </w:p>
    <w:p>
      <w:pPr>
        <w:spacing w:after="0" w:line="187"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ind w:right="200"/>
        <w:spacing w:after="0" w:line="282" w:lineRule="auto"/>
        <w:rPr>
          <w:sz w:val="20"/>
          <w:szCs w:val="20"/>
          <w:color w:val="auto"/>
        </w:rPr>
      </w:pPr>
      <w:r>
        <w:rPr>
          <w:rFonts w:ascii="Times New Roman" w:cs="Times New Roman" w:eastAsia="Times New Roman" w:hAnsi="Times New Roman"/>
          <w:sz w:val="18"/>
          <w:szCs w:val="18"/>
          <w:color w:val="auto"/>
        </w:rPr>
        <w:t>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62" w:lineRule="exact"/>
        <w:rPr>
          <w:sz w:val="20"/>
          <w:szCs w:val="20"/>
          <w:color w:val="auto"/>
        </w:rPr>
      </w:pPr>
    </w:p>
    <w:p>
      <w:pPr>
        <w:ind w:right="120" w:firstLine="405"/>
        <w:spacing w:after="0" w:line="277" w:lineRule="auto"/>
        <w:rPr>
          <w:sz w:val="20"/>
          <w:szCs w:val="20"/>
          <w:color w:val="auto"/>
        </w:rPr>
      </w:pPr>
      <w:r>
        <w:rPr>
          <w:rFonts w:ascii="Times New Roman" w:cs="Times New Roman" w:eastAsia="Times New Roman" w:hAnsi="Times New Roman"/>
          <w:sz w:val="17"/>
          <w:szCs w:val="17"/>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2016.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Six Months Ended July 31, 2016 and 2015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0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11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3"/>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rPr>
              <w:t>Ended July 31,</w:t>
            </w:r>
          </w:p>
        </w:tc>
        <w:tc>
          <w:tcPr>
            <w:tcW w:w="120" w:type="dxa"/>
            <w:vAlign w:val="bottom"/>
          </w:tcPr>
          <w:p>
            <w:pPr>
              <w:spacing w:after="0"/>
              <w:rPr>
                <w:sz w:val="4"/>
                <w:szCs w:val="4"/>
                <w:color w:val="auto"/>
              </w:rPr>
            </w:pPr>
          </w:p>
        </w:tc>
        <w:tc>
          <w:tcPr>
            <w:tcW w:w="11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As a % of Net</w:t>
            </w: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Ended July 31,</w:t>
            </w:r>
          </w:p>
        </w:tc>
        <w:tc>
          <w:tcPr>
            <w:tcW w:w="100" w:type="dxa"/>
            <w:vAlign w:val="bottom"/>
          </w:tcPr>
          <w:p>
            <w:pPr>
              <w:spacing w:after="0"/>
              <w:rPr>
                <w:sz w:val="4"/>
                <w:szCs w:val="4"/>
                <w:color w:val="auto"/>
              </w:rPr>
            </w:pPr>
          </w:p>
        </w:tc>
        <w:tc>
          <w:tcPr>
            <w:tcW w:w="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a % of Net</w:t>
            </w:r>
          </w:p>
        </w:tc>
        <w:tc>
          <w:tcPr>
            <w:tcW w:w="0" w:type="dxa"/>
            <w:vAlign w:val="bottom"/>
          </w:tcPr>
          <w:p>
            <w:pPr>
              <w:spacing w:after="0"/>
              <w:rPr>
                <w:sz w:val="1"/>
                <w:szCs w:val="1"/>
                <w:color w:val="auto"/>
              </w:rPr>
            </w:pPr>
          </w:p>
        </w:tc>
      </w:tr>
      <w:tr>
        <w:trPr>
          <w:trHeight w:val="63"/>
        </w:trPr>
        <w:tc>
          <w:tcPr>
            <w:tcW w:w="4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465.6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516.5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528.5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508"/>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0" w:type="dxa"/>
            <w:vAlign w:val="bottom"/>
          </w:tcPr>
          <w:p>
            <w:pPr>
              <w:spacing w:after="0"/>
              <w:rPr>
                <w:sz w:val="1"/>
                <w:szCs w:val="1"/>
                <w:color w:val="auto"/>
              </w:rPr>
            </w:pPr>
          </w:p>
        </w:tc>
      </w:tr>
      <w:tr>
        <w:trPr>
          <w:trHeight w:val="70"/>
        </w:trPr>
        <w:tc>
          <w:tcPr>
            <w:tcW w:w="4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3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1,062.6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1,256.0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184.8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1,071.2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1,097.7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are undergoing a business model transition in which we have discontinued selling new perpetual licenses for most of our products in favor of new model subscriptions. During the transition, revenue, gross margin, operating margin, earnings (loss) per share, deferred revenue, billings, and cash flow from operations will be impacted as more revenue is recognized ratably rather than up front and as new offerings bring a wider variety of price points.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revenue decreased during the three months ended July 31, 2016, as compared to the same period in the prior fiscal year, primarily due to a 21% decrease in license and other revenue, partially offset by a 1% increase in subscription revenue. The 21% decrease in license and other revenue was primarily a result of the discontinuation of the sale of most individual perpetual products as of February 1, 2016. The 1% increase in subscription revenue was primarily driven by a 38% increase in revenue from our new model subscription offerings, partially offset by a 3% decrease in maintenance revenue.</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revenue decreased during the six months ended July 31, 2016, as compared to the same period in the prior fiscal year, primarily due to a 33% decrease in License and other revenue, partially offset by a 1% increase in subscription revenue. The 33% decrease in License and other revenue was primarily a result of the discontinuation of the sale of most individual perpetual products as of February 1, 2016. The 1% increase in subscription revenue was primarily driven by a 36% increase in revenue from our new model subscription offerings, partially offset by a 2% decrease in maintenance revenue.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Tech Data Corporation and its global affiliates (collectively, “Tech Data”). Total sales to Tech Data accounted for 31% and 30% of Autodesk’s total net revenue for the three and six months ended July 31, 2016, respectively, and 23% and 25% for the three and six months ended July 31, 2015, respectively. Our customers through Tech Data are the resellers and end users who purchase our software licenses and services. Should any of our agreements with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Analysis</w:t>
      </w:r>
    </w:p>
    <w:p>
      <w:pPr>
        <w:spacing w:after="0" w:line="2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operating margin decreased to (11)% for the three months ended July 31, 2016 from 1% for the three months ended July 31, 2015. The decrease in operating margin was primarily driven by a decrease in revenue related to the discontinuation of the sale of most individual perpetual products as of February 1, 2016 and an increase in operating expenses during the three months ended July 31, 2016. The increase in operating expenses was primarily driven by restructuring charges and other facility exit costs during the three months ended July 31, 2016.</w:t>
      </w:r>
    </w:p>
    <w:p>
      <w:pPr>
        <w:spacing w:after="0" w:line="180"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operating margin decreased to (20)% for the six months ended July 31, 2016 from 2% for the six months ended July 31, 2015. The decrease in operating margin was primarily driven by a decrease in revenue and an increase in operating expenses during the six months ended July 31, 2016. The increase in operating expenses was primarily driven by restructuring charges and other facility exit costs during the six months ended July 31, 2016.</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Further discussion regarding the cost of goods sold and operating expense activities are discussed below under the heading “Results of Operations.”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Business Model Transition Metrics</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during and after the transition, we have introduced several new metrics including recurring revenue, total subscriptions, ARR, and annualized revenue per subscription ("ARPS"). ARR and ARPS are performance metrics and should be viewed independently of revenue and deferred revenue as ARR and ARPS are not intended to be combined with those items. Please refer to the Glossary of Terms for further discussion regarding the new metric terminology.</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Recurring revenue represents the revenue for the period from our traditional maintenance plans and revenue from our new model subscription offerings, including portions of revenue allocated to license &amp; other revenue for those offerings. It excludes subscription revenue related to consumer product offerings, select Creative Finishing product offerings, Autodesk Buzzsaw, Autodesk Constructware, education offerings, and third party products. Recurring revenue acquired with the acquisition of a business is captured and may cause variability in the comparison of this calculation.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578" w:right="25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color w:val="auto"/>
        </w:rPr>
        <w:t>The following table outlines our recurring revenue for the three and six months ended July 31, 2016 and July 31,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20" w:type="dxa"/>
            <w:vAlign w:val="bottom"/>
          </w:tcPr>
          <w:p>
            <w:pPr>
              <w:spacing w:after="0"/>
              <w:rPr>
                <w:sz w:val="13"/>
                <w:szCs w:val="13"/>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9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64"/>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20" w:type="dxa"/>
            <w:vAlign w:val="bottom"/>
          </w:tcPr>
          <w:p>
            <w:pPr>
              <w:spacing w:after="0"/>
              <w:rPr>
                <w:sz w:val="22"/>
                <w:szCs w:val="22"/>
                <w:color w:val="auto"/>
              </w:rPr>
            </w:pPr>
          </w:p>
        </w:tc>
        <w:tc>
          <w:tcPr>
            <w:tcW w:w="6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20" w:type="dxa"/>
            <w:vAlign w:val="bottom"/>
          </w:tcPr>
          <w:p>
            <w:pPr>
              <w:spacing w:after="0"/>
              <w:rPr>
                <w:sz w:val="22"/>
                <w:szCs w:val="22"/>
                <w:color w:val="auto"/>
              </w:rPr>
            </w:pPr>
          </w:p>
        </w:tc>
        <w:tc>
          <w:tcPr>
            <w:tcW w:w="5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2015</w:t>
            </w:r>
          </w:p>
        </w:tc>
      </w:tr>
      <w:tr>
        <w:trPr>
          <w:trHeight w:val="178"/>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Subscription revenue</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0"/>
                <w:szCs w:val="20"/>
                <w:color w:val="auto"/>
              </w:rPr>
            </w:pP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648.0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638.8</w:t>
            </w: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License and other revenue from new</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model subscription offerings (1)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51.2</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42.3</w:t>
            </w:r>
          </w:p>
        </w:tc>
      </w:tr>
      <w:tr>
        <w:trPr>
          <w:trHeight w:val="237"/>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other adjustments (2)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recurring revenue (3)</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726.2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61.7</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664.5</w:t>
            </w:r>
          </w:p>
        </w:tc>
      </w:tr>
      <w:tr>
        <w:trPr>
          <w:trHeight w:val="22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ind w:left="420" w:hanging="412"/>
        <w:spacing w:after="0"/>
        <w:tabs>
          <w:tab w:leader="none" w:pos="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portion of revenue for new model subscription offerings allocated to license &amp; other revenue within our Condensed Consolidated Statements of Operations.</w:t>
      </w:r>
    </w:p>
    <w:p>
      <w:pPr>
        <w:spacing w:after="0" w:line="5" w:lineRule="exact"/>
        <w:rPr>
          <w:rFonts w:ascii="Times New Roman" w:cs="Times New Roman" w:eastAsia="Times New Roman" w:hAnsi="Times New Roman"/>
          <w:sz w:val="16"/>
          <w:szCs w:val="16"/>
          <w:color w:val="auto"/>
        </w:rPr>
      </w:pPr>
    </w:p>
    <w:p>
      <w:pPr>
        <w:ind w:left="420" w:right="80" w:hanging="412"/>
        <w:spacing w:after="0" w:line="246" w:lineRule="auto"/>
        <w:tabs>
          <w:tab w:leader="none" w:pos="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adjustments include subscription revenue related to select Creative Finishing product offerings, Autodesk Buzzsaw, Autodesk Constructware, education offerings, and third party products which are excluded from recurring revenue.</w:t>
      </w:r>
    </w:p>
    <w:p>
      <w:pPr>
        <w:ind w:left="420" w:hanging="412"/>
        <w:spacing w:after="0"/>
        <w:tabs>
          <w:tab w:leader="none" w:pos="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recurring revenue as presented may not recalculate on an annualized basis to total ARR in the next table due to rounding.</w:t>
      </w:r>
    </w:p>
    <w:p>
      <w:pPr>
        <w:spacing w:after="0" w:line="19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2016 and 2015, recurring revenue was 67% and 55% of total net revenue, respectively. During the six months ended July 31, 2016 and 2015, recurring revenue was 68% and 53% of total net revenue, respectively.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outlines our total subscriptions, ARR and ARPS metrics as of July 31, 2016, April 30, 2016, and January 31,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prior quarter end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prior fiscal year end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20" w:type="dxa"/>
            <w:vAlign w:val="bottom"/>
            <w:vMerge w:val="restart"/>
          </w:tcPr>
          <w:p>
            <w:pPr>
              <w:spacing w:after="0"/>
              <w:rPr>
                <w:sz w:val="4"/>
                <w:szCs w:val="4"/>
                <w:color w:val="auto"/>
              </w:rPr>
            </w:pPr>
          </w:p>
        </w:tc>
        <w:tc>
          <w:tcPr>
            <w:tcW w:w="100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8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00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9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63"/>
        </w:trPr>
        <w:tc>
          <w:tcPr>
            <w:tcW w:w="342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8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9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178"/>
        </w:trPr>
        <w:tc>
          <w:tcPr>
            <w:tcW w:w="3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Maintenance subscriptions</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2,151.0</w:t>
            </w: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model subscriptions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22 %</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265.5</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427.2</w:t>
            </w:r>
          </w:p>
        </w:tc>
      </w:tr>
      <w:tr>
        <w:trPr>
          <w:trHeight w:val="217"/>
        </w:trPr>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subscriptions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2,819.7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109.5</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2,710.2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2,819.7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241.5</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2,578.2</w:t>
            </w: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3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5"/>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5"/>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Maintenance ARR</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1,121.4</w:t>
            </w:r>
          </w:p>
        </w:tc>
      </w:tr>
      <w:tr>
        <w:trPr>
          <w:trHeight w:val="237"/>
        </w:trPr>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model ARR</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116.3</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255.0</w:t>
            </w:r>
          </w:p>
        </w:tc>
      </w:tr>
      <w:tr>
        <w:trPr>
          <w:trHeight w:val="33"/>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ARR</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2 %</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92.6</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1,376.4</w:t>
            </w:r>
          </w:p>
        </w:tc>
      </w:tr>
      <w:tr>
        <w:trPr>
          <w:trHeight w:val="324"/>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(ARR divided by Subscriptions)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Maintenance ARPS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Model ARPS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r>
      <w:tr>
        <w:trPr>
          <w:trHeight w:val="217"/>
        </w:trPr>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ARPS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534</w:t>
            </w:r>
          </w:p>
        </w:tc>
      </w:tr>
    </w:tbl>
    <w:p>
      <w:pPr>
        <w:spacing w:after="0" w:line="23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Total subscriptions increased 4% or 109,000 from the end of the first quarter of fiscal 2017 to 2.82 million as of July 31, 2016. Maintenance subscriptions decreased 16,000 from the end of the first quarter of fiscal 2017, primarily as a result of the discontinuation of new perpetual license sales for most individual products at the end of the fourth quarter of fiscal 2016. New model subscriptions increased 22% or 125,000 as of July 31, 2016 as compared to the end of the first quarter of fiscal 2017, primarily driven by growth in all new model subscription types, led by product subscription.</w:t>
      </w:r>
    </w:p>
    <w:p>
      <w:pPr>
        <w:spacing w:after="0" w:line="18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Total subscriptions increased 9% or 241,000 from the fourth quarter of fiscal 2016 to 2.82 million as of July 31, 2016. Maintenance subscriptions decreased 24,000 from the end of fiscal 2016, primarily as a result of the discontinuation of new perpetual license sales for most individual products at the end of the fourth quarter of fiscal 2016. New model subscriptions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ind w:right="180"/>
        <w:spacing w:after="0" w:line="282" w:lineRule="auto"/>
        <w:rPr>
          <w:sz w:val="20"/>
          <w:szCs w:val="20"/>
          <w:color w:val="auto"/>
        </w:rPr>
      </w:pPr>
      <w:r>
        <w:rPr>
          <w:rFonts w:ascii="Times New Roman" w:cs="Times New Roman" w:eastAsia="Times New Roman" w:hAnsi="Times New Roman"/>
          <w:sz w:val="18"/>
          <w:szCs w:val="18"/>
          <w:color w:val="auto"/>
        </w:rPr>
        <w:t>increased 62% or 265,000 as of July 31, 2016 as compared to the end of fiscal 2016, primarily driven by growth in all new model subscription types, led by product subscription.</w:t>
      </w:r>
    </w:p>
    <w:p>
      <w:pPr>
        <w:spacing w:after="0" w:line="16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ARR increased 2% or $33.4 million from the first quarter of fiscal 2017 to $1,469.0 million as of July 31, 2016, primarily due to a 21% increase in new model ARR driven by growth in all new model subscription types, led by product subscription.</w:t>
      </w:r>
    </w:p>
    <w:p>
      <w:pPr>
        <w:spacing w:after="0" w:line="16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ARR increased 7% or $92.6 million from the fourth quarter of fiscal 2016 to $1,469.0 million as of July 31, 2016, primarily due to a 46% increase in new model ARR driven by growth in all new model subscription types, led by product subscription.</w:t>
      </w:r>
    </w:p>
    <w:p>
      <w:pPr>
        <w:spacing w:after="0" w:line="18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ARPS decreased 2% from the first quarter of fiscal 2017 to $521 as of July 31, 2016 primarily due to a 2% decrease in maintenance ARPS, which decreased as a result of a decrease in hedging gains and a linearity shift in new subscription billings.</w:t>
      </w:r>
    </w:p>
    <w:p>
      <w:pPr>
        <w:spacing w:after="0" w:line="216"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ARPS decreased 2% from the fourth quarter of fiscal 2016 to $521 as of July 31, 2016 primarily due to a 10% decrease in new model ARPS, which decreased as a result of individual product subscriptions leading the growth in new model subscriptions, which are priced lower than our flexible enterprise business agreements.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2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generate a significant amount of our revenue in the U.S., Germany, Japan, the United Kingdom, and Canada. Our revenue was negatively impacted by foreign exchange rate changes during the three months ended July 31, 2016 as compared to the same period in the prior fiscal year. Had applicable exchange rates from the three months ended July 31, 2015 been in effect during the three months ended July 31, 2016 and had we excluded foreign exchange hedge gains and losses from the three months ended July 31, 2016, net revenue would have decreased 6% on a constant currency basis during the three months ended July 31, 2016 as compared to the same period in the prior fiscal year.</w:t>
      </w:r>
    </w:p>
    <w:p>
      <w:pPr>
        <w:spacing w:after="0" w:line="1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revenue was negatively impacted by foreign exchange rate changes during the six months ended July 31, 2016 as compared to the same period in the prior fiscal year. Had applicable exchange rates from the six months ended July 31, 2015 been in effect during the six months ended July 31, 2016 and had we excluded foreign exchange hedge gains and losses from the six months ended July 31, 2016, net revenue would have decreased 12% on a constant currency basis during the six months ended July 31, 2016 as compared to the same period in the prior fiscal year.</w:t>
      </w:r>
    </w:p>
    <w:p>
      <w:pPr>
        <w:spacing w:after="0" w:line="18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total spend, defined as cost of revenue plus operating expenses, during the three months ended July 31, 2016 increased 1%, on an as reported basis as compared to the same period in the prior fiscal year. Had applicable exchange rates from the three months ended July 31, 2015 been in effect during the three months ended July 31, 2016 and had we excluded foreign exchange hedge gains and losses from the three months ended July 31, 2016, total spend would have increased 3%, on a constant currency basis compared to the same period in the prior fiscal year.</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total spend during the six months ended July 31, 2016 increased 4%, on an as reported basis as compared to the same period in the prior fiscal year. Had applicable exchange rates from the six months ended July 31, 2015 been in effect during the six months ended July 31, 2016 and had we excluded foreign exchange hedge gains and losses from the six months ended July 31, 2016, total spend would have increased 5%, on a constant currency basis compared to the same period in the prior fiscal year.</w:t>
      </w:r>
    </w:p>
    <w:p>
      <w:pPr>
        <w:spacing w:after="0" w:line="180"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27"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At July 31, 2016, we had $2.6 billion in cash and marketable securities. We completed the six months ended July 31, 2016 with lower accounts receivable and higher deferred revenue balances as compared to the fiscal year ended January 31, 2016. Our deferred revenue balance at July 31, 2016 was $1.5 billion, which will be recognized as revenue ratably over the life of the contracts. The term of our subscription contracts is typically between one and three years. Our cash flow from operations decreased 11% to $146.4 million for the six months ended July 31, 2016 compared to $163.7 million for the six months ended July 31, 2015. We repurchased 3.0 million and 4.8 million shares of our common stock for $169.9 million and $270.0 million during the three and six months ended July 31, 2016, respectively. Comparatively, we repurchased 2.1 million and 3.7 million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80" w:right="259" w:bottom="1440" w:gutter="0" w:footer="0" w:header="0"/>
        </w:sectPr>
      </w:pPr>
    </w:p>
    <w:bookmarkStart w:id="33" w:name="page34"/>
    <w:bookmarkEnd w:id="33"/>
    <w:p>
      <w:pPr>
        <w:ind w:right="440"/>
        <w:spacing w:after="0" w:line="282" w:lineRule="auto"/>
        <w:rPr>
          <w:sz w:val="20"/>
          <w:szCs w:val="20"/>
          <w:color w:val="auto"/>
        </w:rPr>
      </w:pPr>
      <w:r>
        <w:rPr>
          <w:rFonts w:ascii="Times New Roman" w:cs="Times New Roman" w:eastAsia="Times New Roman" w:hAnsi="Times New Roman"/>
          <w:sz w:val="18"/>
          <w:szCs w:val="18"/>
          <w:color w:val="auto"/>
        </w:rPr>
        <w:t>shares of our common stock for $112.3 million and $207.7 million during the three and six months ended July 31, 2015, respectively. Further discussion regarding the balance sheet and cash flow activities are discussed below under the heading “Liquidity and Capital Resources.”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Business Outlook</w:t>
      </w:r>
    </w:p>
    <w:p>
      <w:pPr>
        <w:spacing w:after="0" w:line="22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Autodesk is undergoing a business model transition in which the company has discontinued selling new perpetual licenses in favor of subscriptions and flexible license arrangements. During the transition, revenue, gross margin, operating margin, EPS, deferred revenue, and cash flow from operations will be impacted as more revenue is recognized ratably rather than up front and as new offerings generally have a lower initial purchase price. We expect our business model transition to expand our customer base by eliminating higher up-front licensing costs and provide more flexibility in how customers gain access to and pay for our products. We expect this business model transition will increase our long-term revenue growth rate by increasing total subscriptions, ARR, and customer value over time.</w:t>
      </w:r>
    </w:p>
    <w:p>
      <w:pPr>
        <w:spacing w:after="0" w:line="18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February 2016, we commenced a restructuring plan to reduce headcount by approximately 10% and to consolidate certain facilities around the world in order to accelerate the Company’s transition to a subscription-based business model and its move to the cloud. Through the restructuring, we seek to reduce expenses, streamline the organization, and reallocate resources to align more closely with the Company’s needs going forward. See further discussion of our restructuring plan in Note 13, “Restructuring charges and other facility exit costs, net” of the Notes to Condensed Consolidated Financial Statements. As a result of these actions, we have incurred and will incur additional costs in the short term that negatively impact our net income and cash flows from operating activities and have the effect of reducing our operating margins.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Q3 FY17 Guidance Metrics</w:t>
            </w:r>
          </w:p>
        </w:tc>
        <w:tc>
          <w:tcPr>
            <w:tcW w:w="5960" w:type="dxa"/>
            <w:vAlign w:val="bottom"/>
            <w:gridSpan w:val="2"/>
          </w:tcPr>
          <w:p>
            <w:pPr>
              <w:ind w:left="3500"/>
              <w:spacing w:after="0"/>
              <w:rPr>
                <w:sz w:val="20"/>
                <w:szCs w:val="20"/>
                <w:color w:val="auto"/>
              </w:rPr>
            </w:pPr>
            <w:r>
              <w:rPr>
                <w:rFonts w:ascii="Times New Roman" w:cs="Times New Roman" w:eastAsia="Times New Roman" w:hAnsi="Times New Roman"/>
                <w:sz w:val="14"/>
                <w:szCs w:val="14"/>
                <w:b w:val="1"/>
                <w:bCs w:val="1"/>
                <w:color w:val="auto"/>
              </w:rPr>
              <w:t>Q3 FY17 (ending October 31, 2016)</w:t>
            </w:r>
          </w:p>
        </w:tc>
      </w:tr>
      <w:tr>
        <w:trPr>
          <w:trHeight w:val="242"/>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(in millions)</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$485</w:t>
            </w:r>
          </w:p>
        </w:tc>
      </w:tr>
      <w:tr>
        <w:trPr>
          <w:trHeight w:val="224"/>
        </w:trPr>
        <w:tc>
          <w:tcPr>
            <w:tcW w:w="2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EPS GAAP</w:t>
            </w:r>
          </w:p>
        </w:tc>
        <w:tc>
          <w:tcPr>
            <w:tcW w:w="4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($0.74)</w:t>
            </w:r>
          </w:p>
        </w:tc>
      </w:tr>
      <w:tr>
        <w:trPr>
          <w:trHeight w:val="33"/>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 non-GAAP (1)</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($0.22)</w:t>
            </w:r>
          </w:p>
        </w:tc>
      </w:tr>
      <w:tr>
        <w:trPr>
          <w:trHeight w:val="22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54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420" w:right="160" w:hanging="412"/>
        <w:spacing w:after="0" w:line="257" w:lineRule="auto"/>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earnings per diluted share excludes $0.27 related to stock-based compensation expense, between $0.15 and $0.13 related to GAAP-only tax charges, $0.08 for the amortization of acquisition related intangibles, and $0.04 related to restructuring charges and other facility exit costs.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FY17 Guidance Metrics</w:t>
            </w:r>
          </w:p>
        </w:tc>
        <w:tc>
          <w:tcPr>
            <w:tcW w:w="4540" w:type="dxa"/>
            <w:vAlign w:val="bottom"/>
            <w:gridSpan w:val="2"/>
          </w:tcPr>
          <w:p>
            <w:pPr>
              <w:jc w:val="center"/>
              <w:ind w:left="1740"/>
              <w:spacing w:after="0"/>
              <w:rPr>
                <w:sz w:val="20"/>
                <w:szCs w:val="20"/>
                <w:color w:val="auto"/>
              </w:rPr>
            </w:pPr>
            <w:r>
              <w:rPr>
                <w:rFonts w:ascii="Times New Roman" w:cs="Times New Roman" w:eastAsia="Times New Roman" w:hAnsi="Times New Roman"/>
                <w:sz w:val="14"/>
                <w:szCs w:val="14"/>
                <w:b w:val="1"/>
                <w:bCs w:val="1"/>
                <w:color w:val="auto"/>
              </w:rPr>
              <w:t>FY17 (ending January 31, 2017)</w:t>
            </w:r>
          </w:p>
        </w:tc>
      </w:tr>
      <w:tr>
        <w:trPr>
          <w:trHeight w:val="242"/>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(in millions) (1)</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$2,050</w:t>
            </w:r>
          </w:p>
        </w:tc>
      </w:tr>
      <w:tr>
        <w:trPr>
          <w:trHeight w:val="224"/>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GAAP spend growth (cost of revenue plus operating expenses)</w:t>
            </w:r>
          </w:p>
        </w:tc>
        <w:tc>
          <w:tcPr>
            <w:tcW w:w="4540" w:type="dxa"/>
            <w:vAlign w:val="bottom"/>
            <w:gridSpan w:val="2"/>
          </w:tcPr>
          <w:p>
            <w:pPr>
              <w:jc w:val="center"/>
              <w:ind w:left="1740"/>
              <w:spacing w:after="0"/>
              <w:rPr>
                <w:sz w:val="20"/>
                <w:szCs w:val="20"/>
                <w:color w:val="auto"/>
              </w:rPr>
            </w:pPr>
            <w:r>
              <w:rPr>
                <w:rFonts w:ascii="Times New Roman" w:cs="Times New Roman" w:eastAsia="Times New Roman" w:hAnsi="Times New Roman"/>
                <w:sz w:val="16"/>
                <w:szCs w:val="16"/>
                <w:color w:val="auto"/>
              </w:rPr>
              <w:t>Approx. 2%</w:t>
            </w:r>
          </w:p>
        </w:tc>
      </w:tr>
      <w:tr>
        <w:trPr>
          <w:trHeight w:val="33"/>
        </w:trPr>
        <w:tc>
          <w:tcPr>
            <w:tcW w:w="688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r>
      <w:tr>
        <w:trPr>
          <w:trHeight w:val="237"/>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spend growth (cost of revenue plus operating expenses) (2)</w:t>
            </w:r>
          </w:p>
        </w:tc>
        <w:tc>
          <w:tcPr>
            <w:tcW w:w="4540" w:type="dxa"/>
            <w:vAlign w:val="bottom"/>
            <w:tcBorders>
              <w:bottom w:val="single" w:sz="8" w:color="CCEEFF"/>
            </w:tcBorders>
            <w:gridSpan w:val="2"/>
            <w:shd w:val="clear" w:color="auto" w:fill="CCEEFF"/>
          </w:tcPr>
          <w:p>
            <w:pPr>
              <w:jc w:val="center"/>
              <w:ind w:left="1720"/>
              <w:spacing w:after="0"/>
              <w:rPr>
                <w:sz w:val="20"/>
                <w:szCs w:val="20"/>
                <w:color w:val="auto"/>
              </w:rPr>
            </w:pPr>
            <w:r>
              <w:rPr>
                <w:rFonts w:ascii="Times New Roman" w:cs="Times New Roman" w:eastAsia="Times New Roman" w:hAnsi="Times New Roman"/>
                <w:sz w:val="16"/>
                <w:szCs w:val="16"/>
                <w:color w:val="auto"/>
              </w:rPr>
              <w:t>Approx. (2%)</w:t>
            </w:r>
          </w:p>
        </w:tc>
      </w:tr>
      <w:tr>
        <w:trPr>
          <w:trHeight w:val="224"/>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EPS GAAP</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($2.74)</w:t>
            </w:r>
          </w:p>
        </w:tc>
      </w:tr>
      <w:tr>
        <w:trPr>
          <w:trHeight w:val="33"/>
        </w:trPr>
        <w:tc>
          <w:tcPr>
            <w:tcW w:w="6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EPS non-GAAP (3)</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($0.55)</w:t>
            </w:r>
          </w:p>
        </w:tc>
      </w:tr>
      <w:tr>
        <w:trPr>
          <w:trHeight w:val="224"/>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subscription additions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- 525,000</w:t>
            </w:r>
          </w:p>
        </w:tc>
      </w:tr>
      <w:tr>
        <w:trPr>
          <w:trHeight w:val="24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12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420" w:hanging="412"/>
        <w:spacing w:after="0"/>
        <w:tabs>
          <w:tab w:leader="none" w:pos="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the impact of foreign currency exchange rates and hedge gains/losses, revenue guidance would be $2,045 - $2,095 million.</w:t>
      </w:r>
    </w:p>
    <w:p>
      <w:pPr>
        <w:spacing w:after="0" w:line="9" w:lineRule="exact"/>
        <w:rPr>
          <w:rFonts w:ascii="Times New Roman" w:cs="Times New Roman" w:eastAsia="Times New Roman" w:hAnsi="Times New Roman"/>
          <w:sz w:val="16"/>
          <w:szCs w:val="16"/>
          <w:color w:val="auto"/>
        </w:rPr>
      </w:pPr>
    </w:p>
    <w:p>
      <w:pPr>
        <w:ind w:left="420" w:right="100" w:hanging="412"/>
        <w:spacing w:after="0" w:line="246" w:lineRule="auto"/>
        <w:tabs>
          <w:tab w:leader="none" w:pos="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spend excludes $226 million related to stock-based compensation expense, $86 million related to restructuring charges and other facility exit costs, and $69 million for the amortization of acquisition-related intangibles.</w:t>
      </w:r>
    </w:p>
    <w:p>
      <w:pPr>
        <w:ind w:left="420" w:right="140" w:hanging="412"/>
        <w:spacing w:after="0" w:line="257" w:lineRule="auto"/>
        <w:tabs>
          <w:tab w:leader="none" w:pos="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earnings per diluted share excludes $1.01 related to stock-based compensation expense, between $0.56 and $0.48 of GAAP-only tax charges, $0.39 related to restructuring charges and other facility exit costs, and $0.31 for the amortization of acquisition-related intangibles.</w:t>
      </w:r>
    </w:p>
    <w:p>
      <w:pPr>
        <w:spacing w:after="0" w:line="150"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remain diligent about managing our spend while making essential investments to drive growth.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80" w:type="dxa"/>
            <w:vAlign w:val="bottom"/>
          </w:tcPr>
          <w:p>
            <w:pPr>
              <w:spacing w:after="0"/>
              <w:rPr>
                <w:sz w:val="13"/>
                <w:szCs w:val="13"/>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9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95"/>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64"/>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2"/>
                <w:szCs w:val="2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Pr>
          <w:p>
            <w:pPr>
              <w:spacing w:after="0"/>
              <w:rPr>
                <w:sz w:val="22"/>
                <w:szCs w:val="22"/>
                <w:color w:val="auto"/>
              </w:rPr>
            </w:pPr>
          </w:p>
        </w:tc>
        <w:tc>
          <w:tcPr>
            <w:tcW w:w="6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Pr>
          <w:p>
            <w:pPr>
              <w:spacing w:after="0"/>
              <w:rPr>
                <w:sz w:val="22"/>
                <w:szCs w:val="22"/>
                <w:color w:val="auto"/>
              </w:rPr>
            </w:pPr>
          </w:p>
        </w:tc>
        <w:tc>
          <w:tcPr>
            <w:tcW w:w="5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July 31, 2015</w:t>
            </w:r>
          </w:p>
        </w:tc>
      </w:tr>
      <w:tr>
        <w:trPr>
          <w:trHeight w:val="209"/>
        </w:trPr>
        <w:tc>
          <w:tcPr>
            <w:tcW w:w="2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60"/>
        </w:trPr>
        <w:tc>
          <w:tcPr>
            <w:tcW w:w="2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638.8</w:t>
            </w: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License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617.2</w:t>
            </w:r>
          </w:p>
        </w:tc>
      </w:tr>
      <w:tr>
        <w:trPr>
          <w:trHeight w:val="284"/>
        </w:trPr>
        <w:tc>
          <w:tcPr>
            <w:tcW w:w="2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9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1,256.0</w:t>
            </w:r>
          </w:p>
        </w:tc>
      </w:tr>
      <w:tr>
        <w:trPr>
          <w:trHeight w:val="176"/>
        </w:trPr>
        <w:tc>
          <w:tcPr>
            <w:tcW w:w="23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6"/>
                <w:szCs w:val="16"/>
                <w:color w:val="auto"/>
              </w:rPr>
              <w:t>Net Revenue by Operating</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3"/>
        </w:trPr>
        <w:tc>
          <w:tcPr>
            <w:tcW w:w="2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Segment: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6"/>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Architecture,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Engineering and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470.1</w:t>
            </w: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355.8</w:t>
            </w:r>
          </w:p>
        </w:tc>
      </w:tr>
      <w:tr>
        <w:trPr>
          <w:trHeight w:val="216"/>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Platform Solutions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Emerging Business</w:t>
            </w:r>
          </w:p>
        </w:tc>
        <w:tc>
          <w:tcPr>
            <w:tcW w:w="16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349.4</w:t>
            </w: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Media and Entertainment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80.7</w:t>
            </w:r>
          </w:p>
        </w:tc>
      </w:tr>
      <w:tr>
        <w:trPr>
          <w:trHeight w:val="244"/>
        </w:trPr>
        <w:tc>
          <w:tcPr>
            <w:tcW w:w="2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1,256.0</w:t>
            </w: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subscription revenue consists of three components: (1) maintenance revenue from our perpetual software products; (2) maintenance revenue from our term-based product subscriptions and flexible enterprise business agreements; and (3) revenue from our cloud service offerings. Our maintenance plans provide our customers with a cost effective and predictable budgetary option to obtain the productivity 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 Revenue for our cloud service offerings is recognized ratably over the contract term commencing with the date our service is made available to customers and when all other revenue recognition criteria have been satisfied.</w:t>
      </w:r>
    </w:p>
    <w:p>
      <w:pPr>
        <w:spacing w:after="0" w:line="18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Subscription revenue increased 1% during the three months ended July 31, 2016, as compared to the three months ended July 31, 2015, primarily due to a 38% increase in new model subscription revenue, partially offset by a 3% decrease in maintenance revenue. The 38% increase in new model subscription revenue was due to a 197% increase in product subscription revenue and a 29% increase in revenue from flexible enterprise business agreements. The 3% decrease in maintenance revenue was attributable to the business model transition, as we expect maintenance revenue will slowly decline as perpetual license sales end, and customers adopt our new model subscription offerings.</w:t>
      </w:r>
    </w:p>
    <w:p>
      <w:pPr>
        <w:spacing w:after="0" w:line="184"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Maintenance revenue represented 87% and 90% of subscription revenue for the three months ended July 31, 2016 and 2015, respectively. New model subscription revenue represented 13% and 10% of subscription revenue for the three months ended July 31, 2016 and 2015, respectively.</w:t>
      </w:r>
    </w:p>
    <w:p>
      <w:pPr>
        <w:spacing w:after="0" w:line="16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Subscription revenue increased 1% during the six months ended July 31, 2016, as compared to the six months ended July 31, 2015, primarily due to a 36% increase in new model subscription revenue, partially offset by a 2% decrease in maintenance revenue. The 36% increase in new model subscription revenue was due to a 31% increase in revenue from flexible enterprise business agreements and a 200% increase in product subscription revenue. The 2% decrease in maintenance revenue was attributable to the business model transition, as we expect maintenance revenue will slowly decline as perpetual license sales end, and customers adopt our new model subscription offerings.</w:t>
      </w:r>
    </w:p>
    <w:p>
      <w:pPr>
        <w:spacing w:after="0" w:line="18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Maintenance revenue represented 87% and 90% of subscription revenue for the six months ended July 31, 2016 and 2015, respectively. New model subscription revenue represented 13% and 10% of subscription revenue for the six months ended July 31, 2016 and 2015,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7"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8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License and other revenue decreased 21% during the three months ended July 31, 2016, as compared to the three months ended July 31, 2015. Product license revenue, as a percentage of license and other revenue, was 86% and 88% for the three months ended July 31, 2016 and 2015, respectively. The decrease in product license revenue was due to the business model transition, which led to a 38% decrease in revenue from perpetual licenses as we have discontinued selling perpetual seats of most of our product offerings. This decrease was partially offset by a 111% increase in license revenue from our new model subscription offerings.</w:t>
      </w:r>
    </w:p>
    <w:p>
      <w:pPr>
        <w:spacing w:after="0" w:line="18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License and other revenue decreased 33% during the six months ended July 31, 2016, as compared to the six months ended July 31, 2015. Product license revenue, as a percentage of license and other revenue, was 83% and 89% for the six months ended July 31, 2016 and 2015, respectively. The decrease in product license revenue was due to the business model transition, which led to a 50% decrease in revenue from perpetual licenses as we have discontinued selling perpetual seats of most of our product offerings. This decrease was partially offset by a 104% increase in license revenue from our new model subscription offerings.</w:t>
      </w:r>
    </w:p>
    <w:p>
      <w:pPr>
        <w:spacing w:after="0" w:line="184" w:lineRule="exact"/>
        <w:rPr>
          <w:sz w:val="20"/>
          <w:szCs w:val="20"/>
          <w:color w:val="auto"/>
        </w:rPr>
      </w:pPr>
    </w:p>
    <w:p>
      <w:pPr>
        <w:jc w:val="both"/>
        <w:ind w:right="280" w:firstLine="405"/>
        <w:spacing w:after="0" w:line="313" w:lineRule="auto"/>
        <w:rPr>
          <w:sz w:val="20"/>
          <w:szCs w:val="20"/>
          <w:color w:val="auto"/>
        </w:rPr>
      </w:pPr>
      <w:r>
        <w:rPr>
          <w:rFonts w:ascii="Times New Roman" w:cs="Times New Roman" w:eastAsia="Times New Roman" w:hAnsi="Times New Roman"/>
          <w:sz w:val="17"/>
          <w:szCs w:val="17"/>
          <w:color w:val="auto"/>
        </w:rPr>
        <w:t>Other revenue decreased 9% during the three months ended July 31, 2016, as compared to the three months ended July 31, 2015 due to a decrease in revenue from Creative Finishing. Other revenue represented 6% of total net revenue for both the three months ended July 31, 2016 and 2015, respectively,</w:t>
      </w:r>
    </w:p>
    <w:p>
      <w:pPr>
        <w:spacing w:after="0" w:line="13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Other revenue decreased 2% during the six months ended July 31, 2016, as compared to the six months ended July 31, 2015 due to a decrease in revenue from Creative Finishing, partially offset by an increase in revenue from consumer products. Other revenue represented 6% of total net revenue for both the six months ended July 31, 2016 and 2015, respectively,</w:t>
      </w:r>
    </w:p>
    <w:p>
      <w:pPr>
        <w:spacing w:after="0" w:line="176"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Backlog related to current software license product orders that had not been delivered at the end of the quarter increased by $6.7 million during the six months ended July 31, 2016 from $31.4 million at January 31, 2016 to $38.1 million at July 31, 2016. Backlog from current software license product orders that have not been delivered consists of orders for currently available licensed software products from customers with approved credit status.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Operating Segment</w:t>
      </w:r>
    </w:p>
    <w:p>
      <w:pPr>
        <w:spacing w:after="0" w:line="227" w:lineRule="exact"/>
        <w:rPr>
          <w:sz w:val="20"/>
          <w:szCs w:val="20"/>
          <w:color w:val="auto"/>
        </w:rPr>
      </w:pPr>
    </w:p>
    <w:p>
      <w:pPr>
        <w:jc w:val="both"/>
        <w:ind w:right="120" w:firstLine="432"/>
        <w:spacing w:after="0" w:line="258" w:lineRule="auto"/>
        <w:rPr>
          <w:sz w:val="20"/>
          <w:szCs w:val="20"/>
          <w:color w:val="auto"/>
        </w:rPr>
      </w:pPr>
      <w:r>
        <w:rPr>
          <w:rFonts w:ascii="Times New Roman" w:cs="Times New Roman" w:eastAsia="Times New Roman" w:hAnsi="Times New Roman"/>
          <w:sz w:val="18"/>
          <w:szCs w:val="18"/>
          <w:color w:val="auto"/>
        </w:rPr>
        <w:t>We have four reportable segments: AEC, MFG, PSEB, and M&amp;E. We have no material inter-segment revenue. During the business model transition, revenue has been and will be negatively impacted as more revenue is recognized ratably rather than up front and as new product offerings generally have a lower initial purchase price. As part of the business model transition, we discontinued new perpetual license sales for most individual products at the end of the fourth quarter of fiscal 2016, and on August 1, 2016, we discontinued selling most new perpetual license of suites, which lead to a surge in revenue from our perpetual suites during the three months ended July 31, 2016. These broad impacts are reflected in the drivers below.</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2016, net revenue for AEC increased by 8% as compared to the same period in the prior fiscal year, primarily due to a 26% increase in our AEC suites driven by Autodesk Building Design Suite and Autodesk Infrastructure Design Suite. Partially offsetting the increase in AEC suites was a 14% decline in revenue from individual product offerings.</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During the six months ended July 31, 2016, net revenue for AEC was flat compared to the same period in the prior fiscal year, primarily due to a 10% increase in our AEC suites driven by Autodesk Building Design Suite and Autodesk Infrastructure Design Suite. Offsetting the increase in AEC suites was a 12% decline in revenue from individual product offerings.</w:t>
      </w:r>
    </w:p>
    <w:p>
      <w:pPr>
        <w:spacing w:after="0" w:line="176"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2016, net revenue for MFG increased by 3% as compared to the same period in the prior fiscal year primarily due to a 7% increase in our MFG suites driven by an increase in revenue from our Product Design Suite.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578" w:right="259" w:bottom="1440" w:gutter="0" w:footer="0" w:header="0"/>
        </w:sectPr>
      </w:pPr>
    </w:p>
    <w:bookmarkStart w:id="36" w:name="page37"/>
    <w:bookmarkEnd w:id="36"/>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six months ended July 31, 2016, net revenue for MFG decreased by 6% as compared to the same period in the prior fiscal year primarily due to a 6% decline in our MFG suites, driven by a decrease in revenue from our Product Design Suite, and a 6% decrease in individual product offerings.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July 31, 2016, net revenue for PSEB decreased by 47% as compared to the same periods in the prior fiscal year primarily due to 49% and 48% respective decreases in revenue from our AutoCAD and AutoCAD LT products. As part of the transition to term-based product subscriptions for our individual software products in February 2016, products like AutoCAD and ACAD LT will be negatively impacted when compared to the same period in the prior fiscal year as revenue is recognized ratably rather than up front.</w:t>
      </w:r>
    </w:p>
    <w:p>
      <w:pPr>
        <w:spacing w:after="0" w:line="18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July 31, 2016, net revenue for M&amp;E decreased by 16% and 14%, respectively, as compared to the same periods in the prior fiscal year, primarily due to 60% and 46% respective decreases in Creative Finishing, which were driven by lower revenue on Creative Finishing hardware products.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100" w:type="dxa"/>
            <w:vAlign w:val="bottom"/>
          </w:tcPr>
          <w:p>
            <w:pPr>
              <w:spacing w:after="0"/>
              <w:rPr>
                <w:sz w:val="13"/>
                <w:szCs w:val="13"/>
                <w:color w:val="auto"/>
              </w:rPr>
            </w:pP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94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Americas</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230.1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235.7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225.7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tcPr>
          <w:p>
            <w:pPr>
              <w:spacing w:after="0"/>
              <w:rPr>
                <w:sz w:val="20"/>
                <w:szCs w:val="20"/>
                <w:color w:val="auto"/>
              </w:rPr>
            </w:pP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550.7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609.5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Net</w:t>
            </w:r>
          </w:p>
        </w:tc>
        <w:tc>
          <w:tcPr>
            <w:tcW w:w="0" w:type="dxa"/>
            <w:vAlign w:val="bottom"/>
          </w:tcPr>
          <w:p>
            <w:pPr>
              <w:spacing w:after="0" w:line="20" w:lineRule="exact"/>
              <w:rPr>
                <w:sz w:val="1"/>
                <w:szCs w:val="1"/>
                <w:color w:val="auto"/>
              </w:rPr>
            </w:pPr>
          </w:p>
        </w:tc>
      </w:tr>
      <w:tr>
        <w:trPr>
          <w:trHeight w:val="435"/>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 2016</w:t>
            </w:r>
          </w:p>
        </w:tc>
        <w:tc>
          <w:tcPr>
            <w:tcW w:w="12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31, 2015</w:t>
            </w:r>
          </w:p>
        </w:tc>
        <w:tc>
          <w:tcPr>
            <w:tcW w:w="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Americas</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447.8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479.7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0" w:type="dxa"/>
            <w:vAlign w:val="bottom"/>
          </w:tcPr>
          <w:p>
            <w:pPr>
              <w:spacing w:after="0"/>
              <w:rPr>
                <w:sz w:val="20"/>
                <w:szCs w:val="20"/>
                <w:color w:val="auto"/>
              </w:rPr>
            </w:pP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423.1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471.1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191.7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4"/>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1,062.6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1,256.0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Net revenue in the Americas geography decreased by 2% on an as reported basis and on a constant currency basis during the three months ended July 31, 2016, as compared to the same period in the prior fiscal year. Net revenue in the Americas attributable to the United States was approximately 85% and 83% for three months ended July 31, 2016 and 2015, respectively.</w:t>
      </w:r>
    </w:p>
    <w:p>
      <w:pPr>
        <w:spacing w:after="0" w:line="176"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Net revenue in the Americas geography decreased by 7% on an as reported basis and 6% on a constant currency basis during the six months ended July 31, 2016, as compared to the same period in the prior fiscal year. Net revenue in the Americas attributable to the United States was approximately 85% and 82% for the six months ended July 31, 2016 and 2015, respectively.</w:t>
      </w:r>
    </w:p>
    <w:p>
      <w:pPr>
        <w:spacing w:after="0" w:line="17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International net revenue represented 65% and 68% of our net revenue for the three months ended July 31, 2016 and 2015, respectively. Net revenue in the Europe, Middle East and Africa ("EMEA") geography decreased by 2% on an as reported basis and increased 5% on a constant currency basis during the three months ended July 31, 2016 as compared to the same period in the prior fiscal year. Net revenue in the Asia Pacific ("APAC") geography decreased by 32% on an as reported basis and 30% on a constant currency basis during the three months ended July 31, 2016 as compared to the same period in the prior fiscal year, primarily as a result of the business model transition and continued weakness in Japan and emerging economies.</w:t>
      </w:r>
    </w:p>
    <w:p>
      <w:pPr>
        <w:spacing w:after="0" w:line="184"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International net revenue represented 64% and 69% of our net revenue for the six months ended July 31, 2016 and 2015, respectively. Net revenue in the Europe, Middle East and Africa ("EMEA") geography decreased by 10% on an as reported basis and 3% on a constant currency basis during the six months ended July 31, 2016 as compared to the same period in the prior fiscal year. Net revenue in the Asia Pacific ("APAC") geography decreased by 37% on an as reported basis and 35% on a constant currency basis during the six months ended July 31, 2016 as compared to the same period in the prior fiscal year, primarily as a result of the business model transition and continued weakness in Japan and emerging economies.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 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revenue in emerging economies decreased by 32% on an as reported basis and on a constant currency basis during the three months ended July 31,</w:t>
      </w:r>
    </w:p>
    <w:p>
      <w:pPr>
        <w:spacing w:after="0" w:line="2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2016 as compared to the same period in the prior fiscal year. Revenue from emerging economies represented 11% and 15% of net revenue for the three months ended July 31, 2016 and 2015, respectively.</w:t>
      </w:r>
    </w:p>
    <w:p>
      <w:pPr>
        <w:spacing w:after="0" w:line="18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Net revenue in emerging economies decreased by 36% on an as reported basis and on a constant currency basis during the six months ended July 31, 2016 as compared to the same period in the prior fiscal year. Revenue from emerging economies represented 11% and 15% of net revenue for the six months ended July 31, 2016 and 2015,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10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40" w:type="dxa"/>
            <w:vAlign w:val="bottom"/>
          </w:tcPr>
          <w:p>
            <w:pPr>
              <w:spacing w:after="0"/>
              <w:rPr>
                <w:sz w:val="22"/>
                <w:szCs w:val="22"/>
                <w:color w:val="auto"/>
              </w:rPr>
            </w:pPr>
          </w:p>
        </w:tc>
        <w:tc>
          <w:tcPr>
            <w:tcW w:w="5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License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(6.6)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9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(7.3)</w:t>
            </w:r>
          </w:p>
        </w:tc>
        <w:tc>
          <w:tcPr>
            <w:tcW w:w="10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2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Cost of subscription revenue includes the labor costs of providing product support to our maintenance and new model subscription customers, including allocated IT and facilities costs, shipping and handling costs, professional services fees related to operating our network and cloud infrastructure, depreciation expense and operating lease payments associated with computer equipment, data center costs, salaries, related expenses of network operations, amortization of developed technologies, and stock-based compensation expense.</w:t>
      </w:r>
    </w:p>
    <w:p>
      <w:pPr>
        <w:spacing w:after="0" w:line="180"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Cost of subscription revenue decreased 5% during the three months ended July 31, 2016 as compared to the same period in the prior fiscal year, primarily due to a decrease in product support costs to our maintenance and new model subscription customers.</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Cost of subscription revenue decreased 1% during the six months ended July 31, 2016 as compared to the same period in the prior fiscal year, primarily due to a decrease in amortization expense of developed technologies.</w:t>
      </w:r>
    </w:p>
    <w:p>
      <w:pPr>
        <w:spacing w:after="0" w:line="16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allocated IT and facilities costs, professional services fees and royalties. Direct material and overhead charges include the cost of hardware sold (mainly Ember printers in the PSEB segment), and costs associated with electronic and physical fulfillment.</w:t>
      </w:r>
    </w:p>
    <w:p>
      <w:pPr>
        <w:spacing w:after="0" w:line="18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Cost of license and other revenue decreased 12% and 6% for the three and six months ended July 31, 2016, respectively, as compared to the same period in the prior fiscal year, primarily due to the discontinued sales and associated costs of our creative finishing hardware business in the fourth quarter of fiscal 2016 as well as lower professional fees for our consulting related offerings.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We expect cost of revenue to decrease in absolute dollars and slightly increase as a percentage of net revenue during the third quarter of fiscal 2017, as compared to the third quarter of fiscal 2016.</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Marketing and Sales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6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0" w:type="dxa"/>
            <w:vAlign w:val="bottom"/>
          </w:tcPr>
          <w:p>
            <w:pPr>
              <w:spacing w:after="0"/>
              <w:rPr>
                <w:sz w:val="1"/>
                <w:szCs w:val="1"/>
                <w:color w:val="auto"/>
              </w:rPr>
            </w:pPr>
          </w:p>
        </w:tc>
      </w:tr>
      <w:tr>
        <w:trPr>
          <w:trHeight w:val="235"/>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rent and occupancy, payment processing fees, the cost of supplies and equipment, and allocated IT and facilities costs.</w:t>
      </w:r>
    </w:p>
    <w:p>
      <w:pPr>
        <w:spacing w:after="0" w:line="180"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Marketing and sales expenses increased 1% for the three months ended July 31, 2016 as compared to the same period in the prior fiscal year, primarily due to an increase in stock-based compensation expense as a result of a higher fair market value of awards granted, partially offset by lower employee-related costs and a decrease in travel, entertainment and training expenses.</w:t>
      </w:r>
    </w:p>
    <w:p>
      <w:pPr>
        <w:spacing w:after="0" w:line="176"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Marketing and sales expenses decreased 2% for the six months ended July 31, 2016 as compared to the same period in the prior fiscal year, primarily due to lower employee-related costs.</w:t>
      </w:r>
    </w:p>
    <w:p>
      <w:pPr>
        <w:spacing w:after="0" w:line="162"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We expect marketing and sales expenses to increase in absolute dollars and as a percentage of net revenue during the third quarter of fiscal 2017, as compared to the third quarter of fiscal 2016.</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9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20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95"/>
        </w:trPr>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64"/>
        </w:trPr>
        <w:tc>
          <w:tcPr>
            <w:tcW w:w="2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July 31, 2015</w:t>
            </w:r>
          </w:p>
        </w:tc>
      </w:tr>
      <w:tr>
        <w:trPr>
          <w:trHeight w:val="235"/>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11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386.5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387.6</w:t>
            </w: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23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and allocated IT and facilities costs.</w:t>
      </w:r>
    </w:p>
    <w:p>
      <w:pPr>
        <w:spacing w:after="0" w:line="176"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remained flat during both the three and six months ended July 31, 2016 as compared to the same periods in the prior fiscal year, primarily due to an increase in stock-based compensation expense as a result of a higher fair market value of awards granted, offset by a decrease in employee related costs and professional fees.</w:t>
      </w:r>
    </w:p>
    <w:p>
      <w:pPr>
        <w:spacing w:after="0" w:line="176"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absolute dollars and as a percentage of net revenue during the third quarter of fiscal 2017, as compared to the third quarter of fiscal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96" w:right="239"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0" w:type="dxa"/>
            <w:vAlign w:val="bottom"/>
          </w:tcPr>
          <w:p>
            <w:pPr>
              <w:spacing w:after="0"/>
              <w:rPr>
                <w:sz w:val="1"/>
                <w:szCs w:val="1"/>
                <w:color w:val="auto"/>
              </w:rPr>
            </w:pPr>
          </w:p>
        </w:tc>
      </w:tr>
      <w:tr>
        <w:trPr>
          <w:trHeight w:val="235"/>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IT and facilities costs, and the cost of supplies and equipment.</w:t>
      </w:r>
    </w:p>
    <w:p>
      <w:pPr>
        <w:spacing w:after="0" w:line="176"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2% during both the three and six months ended July 31, 2016, as compared to the same periods in the prior fiscal year primarily due to a decrease in employee related costs.</w:t>
      </w:r>
    </w:p>
    <w:p>
      <w:pPr>
        <w:spacing w:after="0" w:line="162"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decrease in absolute dollars and slightly increase as a percentage of net revenue during the third quarter of fiscal 2017, as compared to the third quarter of fiscal 2016.</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Amortization of Purchased Intangibles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9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purchased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intangibles</w:t>
            </w: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Amortization of purchased intangibles decreased 5% and 8% during the three and six months ended July 31, 2016, respectively, as compared to the same periods in the prior fiscal year, primarily related to the accumulated effects associated with amortization expense of intangible assets purchased over time.</w:t>
      </w:r>
    </w:p>
    <w:p>
      <w:pPr>
        <w:spacing w:after="0" w:line="17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We expect amortization of purchased intangibles to decrease in absolute dollars and remain flat as a percentage of net revenue during the third quarter of fiscal 2017, as compared to the third quarter of fiscal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8" w:right="2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i w:val="1"/>
          <w:iCs w:val="1"/>
          <w:color w:val="auto"/>
        </w:rPr>
        <w:t>Restructuring Charges and Other Facility Exit Costs,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60" w:type="dxa"/>
            <w:vAlign w:val="bottom"/>
          </w:tcPr>
          <w:p>
            <w:pPr>
              <w:spacing w:after="0"/>
              <w:rPr>
                <w:sz w:val="13"/>
                <w:szCs w:val="13"/>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22"/>
                <w:szCs w:val="22"/>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140" w:type="dxa"/>
            <w:vAlign w:val="bottom"/>
          </w:tcPr>
          <w:p>
            <w:pPr>
              <w:spacing w:after="0"/>
              <w:rPr>
                <w:sz w:val="22"/>
                <w:szCs w:val="2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0" w:type="dxa"/>
            <w:vAlign w:val="bottom"/>
          </w:tcPr>
          <w:p>
            <w:pPr>
              <w:spacing w:after="0"/>
              <w:rPr>
                <w:sz w:val="22"/>
                <w:szCs w:val="22"/>
                <w:color w:val="auto"/>
              </w:rPr>
            </w:pPr>
          </w:p>
        </w:tc>
        <w:tc>
          <w:tcPr>
            <w:tcW w:w="700" w:type="dxa"/>
            <w:vAlign w:val="bottom"/>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July 31, 2015</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 charges and other</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facility exit costs, net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not meaningful</w:t>
      </w:r>
    </w:p>
    <w:p>
      <w:pPr>
        <w:spacing w:after="0" w:line="17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In February 2016, the Board of Directors approved a world-wide restructuring plan (“Fiscal 2017 Plan”) in order to re-balance staffing levels and reduce operating expenses to better align them with the evolving needs of the Company's business. The Company's Fiscal 2017 Plan consist of employee termination benefits related to the reduction of its workforce of approximately $69.0 million, and lease terminations and other exit costs of approximately $10.0 million.</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Fiscal 2017 Plan, we recorded $8.6 million and $60.9 million in employee termination benefits, lease termination costs and other facility exit costs during the three and six months ended July 31, 2016, respectively. Additionally, during the three and six months ended July 31, 2016, we recorded $7.4 million in other facility exit costs not related to the Fiscal 2017 Plan. See Note 13, "Restructuring charges and other facility exit costs, net" in the Notes to Condensed Consolidated Financial Statements for additional information.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expense, net: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6"/>
                <w:szCs w:val="16"/>
                <w:color w:val="auto"/>
              </w:rPr>
            </w:pPr>
          </w:p>
        </w:tc>
        <w:tc>
          <w:tcPr>
            <w:tcW w:w="18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investment expense, net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gain on strategic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Interest and other expense, net increased $6.7 million in the three months ended July 31, 2016, as compared to the same period in the prior fiscal year, primarily due to an increase in foreign currency losses, as well as non-recurring gains on certain of our privately-held strategic investments and mark-to-market gains recognized on the derivative portion on certain of our other privately-held strategic investments during the prior fiscal year affecting the comparative balance.</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Interest and other expense, net increased $10.6 million in the six months ended July 31, 2016, as compared to the same period in the prior fiscal year, primarily due to an increase in interest expense from the June 2015 issuance of $450.0 million aggregate principal amount of 3.125% notes due June 15, 2020 and $300.0 million aggregate principal amount of 4.375% notes due June 15, 2025, as well as non-recurring gains on certain of our privately-held strategic investments and mark-to-market gains recognized on the derivative portion on certain of our other privately-held strategic investments during the prior fiscal year affecting the comparative balance.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and debt balances, average maturities and interest rates.</w:t>
      </w:r>
    </w:p>
    <w:p>
      <w:pPr>
        <w:spacing w:after="0" w:line="22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8" w:right="23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76"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Income tax expense was $25.2 million and $269.5 million for the three months ended July 31, 2016 and 2015, respectively. Income tax expense was $39.6 million and $272.2 million for the six months ended July 31, 2016 and 2015, respectively. Income tax expense consists primarily of foreign taxes and U.S. tax expense related to indefinite-lived intangibles.</w:t>
      </w:r>
    </w:p>
    <w:p>
      <w:pPr>
        <w:spacing w:after="0" w:line="176"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realizability of our net deferred tax assets each quarter, both in the U.S. and in foreign jurisdictions, based on all available evidence, both positive and negative.</w:t>
      </w:r>
    </w:p>
    <w:p>
      <w:pPr>
        <w:spacing w:after="0" w:line="19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July 31, 2016, we had $261.6 million of gross unrecognized tax benefits, excluding interest, of which approximately $246.9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8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2016, we negotiated a settlement of a tax audit in China covering certain transfer pricing matters from 2004-2013. The settlement is currently under review by the State Administration of Taxation. The estimated tax liability, including interest, is approximately $11.4 million for the years under audit and calendar years 2014 and 2015. The Company accrued this tax liability during the three months ended July 31, 2016.</w:t>
      </w:r>
    </w:p>
    <w:p>
      <w:pPr>
        <w:spacing w:after="0" w:line="17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Internal Revenue Service has notified us that it intends to begin an examination of the Company's U.S. consolidated federal income tax returns for fiscal years 2014 and 2015. While it is possible that our tax positions may be challenged, we believe our positions are consistent with the tax law, and the balance sheet reflects appropriate liabilities for uncertain federal tax positions for the years to be examined.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578"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under GAAP discussed above, we believe the following non-GAAP measures are useful to investors in evaluating our operating performance. For the three and six months ended July 31, 2016 and 2015,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24765</wp:posOffset>
            </wp:positionV>
            <wp:extent cx="17240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03" w:lineRule="exact"/>
        <w:rPr>
          <w:sz w:val="20"/>
          <w:szCs w:val="20"/>
          <w:color w:val="auto"/>
        </w:rPr>
      </w:pPr>
    </w:p>
    <w:p>
      <w:pPr>
        <w:ind w:left="6680"/>
        <w:spacing w:after="0"/>
        <w:tabs>
          <w:tab w:leader="none" w:pos="80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24765</wp:posOffset>
            </wp:positionV>
            <wp:extent cx="1724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8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24765</wp:posOffset>
            </wp:positionV>
            <wp:extent cx="15862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0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24765</wp:posOffset>
            </wp:positionV>
            <wp:extent cx="1586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8640" w:space="720"/>
            <w:col w:w="206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1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465.6</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516.5</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885.1</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1,071.2</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profit</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479.7</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530.9</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913.5</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1,102.0</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85 %</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83 %</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margin</w:t>
            </w:r>
          </w:p>
        </w:tc>
        <w:tc>
          <w:tcPr>
            <w:tcW w:w="1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87 %</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86 %</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1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(62.9)</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(212.6)</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25.9</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159.3</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margin</w:t>
            </w: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1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5 %</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(98.2)</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(268.6)</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(265.9)</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(249.5)</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income (loss)</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11.9</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113.1</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diluted net loss per share (1)</w:t>
            </w:r>
          </w:p>
        </w:tc>
        <w:tc>
          <w:tcPr>
            <w:tcW w:w="11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net income (loss) per share (1)</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0.05</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(0.05)</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0.49</w:t>
            </w:r>
          </w:p>
        </w:tc>
      </w:tr>
      <w:tr>
        <w:trPr>
          <w:trHeight w:val="33"/>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diluted shares used in per share calculation</w:t>
            </w: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223.2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223.8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227.1</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weighted average shares used in per share calculation</w:t>
            </w:r>
          </w:p>
        </w:tc>
        <w:tc>
          <w:tcPr>
            <w:tcW w:w="112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227.4</w:t>
            </w:r>
          </w:p>
        </w:tc>
        <w:tc>
          <w:tcPr>
            <w:tcW w:w="40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223.8</w:t>
            </w:r>
          </w:p>
        </w:tc>
        <w:tc>
          <w:tcPr>
            <w:tcW w:w="3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231.6</w:t>
            </w:r>
          </w:p>
        </w:tc>
      </w:tr>
      <w:tr>
        <w:trPr>
          <w:trHeight w:val="24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Reconciliation of GAAP Financial Measures to Non-GAAP Financial Measures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for gross margin, operating margin, and per share data):</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24765</wp:posOffset>
            </wp:positionV>
            <wp:extent cx="1800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652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24765</wp:posOffset>
            </wp:positionV>
            <wp:extent cx="1800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24765</wp:posOffset>
            </wp:positionV>
            <wp:extent cx="1577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24765</wp:posOffset>
            </wp:positionV>
            <wp:extent cx="1577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8640" w:space="720"/>
            <w:col w:w="206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465.6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1,071.2</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25.5</w:t>
            </w:r>
          </w:p>
        </w:tc>
      </w:tr>
      <w:tr>
        <w:trPr>
          <w:trHeight w:val="217"/>
        </w:trPr>
        <w:tc>
          <w:tcPr>
            <w:tcW w:w="6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profit</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530.9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913.5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1,102.0</w:t>
            </w:r>
          </w:p>
        </w:tc>
      </w:tr>
      <w:tr>
        <w:trPr>
          <w:trHeight w:val="73"/>
        </w:trPr>
        <w:tc>
          <w:tcPr>
            <w:tcW w:w="60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7"/>
        </w:trPr>
        <w:tc>
          <w:tcPr>
            <w:tcW w:w="60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Gross margin</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20"/>
                <w:szCs w:val="20"/>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6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margin</w:t>
            </w: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73"/>
        </w:trPr>
        <w:tc>
          <w:tcPr>
            <w:tcW w:w="60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7"/>
        </w:trPr>
        <w:tc>
          <w:tcPr>
            <w:tcW w:w="60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(Loss) income from operations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90.9</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25.5</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159.3</w:t>
            </w:r>
          </w:p>
        </w:tc>
      </w:tr>
      <w:tr>
        <w:trPr>
          <w:trHeight w:val="73"/>
        </w:trPr>
        <w:tc>
          <w:tcPr>
            <w:tcW w:w="60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7"/>
        </w:trPr>
        <w:tc>
          <w:tcPr>
            <w:tcW w:w="60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Operating margin</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73"/>
        </w:trPr>
        <w:tc>
          <w:tcPr>
            <w:tcW w:w="60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7"/>
        </w:trPr>
        <w:tc>
          <w:tcPr>
            <w:tcW w:w="60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(249.5)</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90.9</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25.5</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strategic investments</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Discrete tax items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6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4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230.9</w:t>
            </w:r>
          </w:p>
        </w:tc>
      </w:tr>
      <w:tr>
        <w:trPr>
          <w:trHeight w:val="33"/>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7"/>
        </w:trPr>
        <w:tc>
          <w:tcPr>
            <w:tcW w:w="6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income (loss)</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113.1</w:t>
            </w:r>
          </w:p>
        </w:tc>
      </w:tr>
      <w:tr>
        <w:trPr>
          <w:trHeight w:val="33"/>
        </w:trPr>
        <w:tc>
          <w:tcPr>
            <w:tcW w:w="60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type w:val="continuous"/>
        </w:sectPr>
      </w:pPr>
    </w:p>
    <w:bookmarkStart w:id="44" w:name="page45"/>
    <w:bookmarkEnd w:id="44"/>
    <w:p>
      <w:pPr>
        <w:ind w:left="6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17665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03" w:lineRule="exact"/>
        <w:rPr>
          <w:sz w:val="20"/>
          <w:szCs w:val="20"/>
          <w:color w:val="auto"/>
        </w:rPr>
      </w:pPr>
    </w:p>
    <w:p>
      <w:pPr>
        <w:ind w:left="6620"/>
        <w:spacing w:after="0"/>
        <w:tabs>
          <w:tab w:leader="none" w:pos="804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1766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8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24765</wp:posOffset>
            </wp:positionV>
            <wp:extent cx="15690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24765</wp:posOffset>
            </wp:positionV>
            <wp:extent cx="15690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8600" w:space="720"/>
            <w:col w:w="2100"/>
          </w:cols>
          <w:pgMar w:left="240" w:top="804" w:right="239" w:bottom="1440" w:gutter="0" w:footer="0" w:header="0"/>
        </w:sectPr>
      </w:pPr>
    </w:p>
    <w:tbl>
      <w:tblPr>
        <w:tblLayout w:type="fixed"/>
        <w:tblInd w:w="0" w:type="dxa"/>
        <w:tblCellMar>
          <w:top w:w="0" w:type="dxa"/>
          <w:left w:w="0" w:type="dxa"/>
          <w:bottom w:w="0" w:type="dxa"/>
          <w:right w:w="0" w:type="dxa"/>
        </w:tblCellMar>
      </w:tblP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diluted net loss per share (1)</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5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and other facility exit costs, net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strategic investments</w:t>
            </w:r>
          </w:p>
        </w:tc>
        <w:tc>
          <w:tcPr>
            <w:tcW w:w="5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Discrete tax items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5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net income (loss) per share (1)</w:t>
            </w: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GAAP diluted shares used in per share calculation</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223.2</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included in non-GAAP net income per share, but excluded from GAAP net loss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per share as they would have been anti-dilutive</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Diluted weighted average shares used in per share calculation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63"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2"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w:t>
      </w:r>
    </w:p>
    <w:p>
      <w:pPr>
        <w:spacing w:after="0" w:line="22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8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technology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8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7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and other facility exit costs (benefits), net. </w:t>
      </w:r>
      <w:r>
        <w:rPr>
          <w:rFonts w:ascii="Times New Roman" w:cs="Times New Roman" w:eastAsia="Times New Roman" w:hAnsi="Times New Roman"/>
          <w:sz w:val="18"/>
          <w:szCs w:val="18"/>
          <w:color w:val="auto"/>
        </w:rPr>
        <w:t>These expenses are associated with realigning our business strategies based on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(gain) on strategic investments. </w:t>
      </w:r>
      <w:r>
        <w:rPr>
          <w:rFonts w:ascii="Times New Roman" w:cs="Times New Roman" w:eastAsia="Times New Roman" w:hAnsi="Times New Roman"/>
          <w:sz w:val="18"/>
          <w:szCs w:val="18"/>
          <w:color w:val="auto"/>
        </w:rPr>
        <w:t>We exclude gains and losses related to our strategic investments from our non-GAAP measures primarily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04" w:right="239" w:bottom="1440" w:gutter="0" w:footer="0" w:header="0"/>
          <w:type w:val="continuous"/>
        </w:sectPr>
      </w:pPr>
    </w:p>
    <w:bookmarkStart w:id="45" w:name="page46"/>
    <w:bookmarkEnd w:id="45"/>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Establishment of a valuation allowance on certain net deferred tax assets. </w:t>
      </w:r>
      <w:r>
        <w:rPr>
          <w:rFonts w:ascii="Times New Roman" w:cs="Times New Roman" w:eastAsia="Times New Roman" w:hAnsi="Times New Roman"/>
          <w:sz w:val="18"/>
          <w:szCs w:val="18"/>
          <w:color w:val="auto"/>
        </w:rPr>
        <w:t>This is a non-cash charge to record a valuation allowance on certain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7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Discrete tax items. </w:t>
      </w:r>
      <w:r>
        <w:rPr>
          <w:rFonts w:ascii="Times New Roman" w:cs="Times New Roman" w:eastAsia="Times New Roman" w:hAnsi="Times New Roman"/>
          <w:sz w:val="18"/>
          <w:szCs w:val="18"/>
          <w:color w:val="auto"/>
        </w:rPr>
        <w:t>We exclude the GAAP tax provision, including discrete items, from the non-GAAP measure of income, and include a non-GAAP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8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primary source of cash is from the sale and maintenance of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80"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At July 31, 2016, our principal sources of liquidity were cash, cash equivalents and marketable securities totaling $2.6 billion and net accounts receivable of $306.9 million.</w:t>
      </w:r>
    </w:p>
    <w:p>
      <w:pPr>
        <w:spacing w:after="0" w:line="16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four series of notes collectively, the “Notes”). As of August 30, 2016, we have $1.5 billion aggregate principal amount of Notes outstanding. In addition, we have a line of credit facility that permits unsecured short-term borrowings of up to $400.0 million with a May 2020 maturity date. As of August 30, 2016, we have no amounts outstanding under the credit facility. Borrowings under the credit facility and the net proceeds from the offering of the Notes are available for general corporate purposes.</w:t>
      </w:r>
    </w:p>
    <w:p>
      <w:pPr>
        <w:spacing w:after="0" w:line="18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cash, cash equivalents and marketable securities decreased to $2.6 billion as of July 31, 2016 from $2.8 billion as of January 31, 2016 primarily as a result of cash used for repurchases of our common stock (net of stock issuance proceeds), acquisitions including business combinations and technology purchases, and capital expenditures. The cash proceeds from issuance of common stock vary based on our stock price, stock option exercise activity and the volume of employee purchases under the ESPP.</w:t>
      </w:r>
    </w:p>
    <w:p>
      <w:pPr>
        <w:spacing w:after="0" w:line="18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primary source of net cash provided by operating activities of $146.4 million for the six months ended July 31, 2016 was cash flow provided by changes in operating assets and liabilities of $183.1 million. The primary working capital source of cash was a decrease in accounts receivable. The primary working capital uses of cash were decreases in accrued compensation and other accrued liabilities. Our days sales outstanding in trade receivables was 51 at July 31, 2016 compared to 92 at January 31, 2016. The days sales outstanding decrease relates primarily to a seasonal decline in maintenance billings and the discontinuation of the sale of most individual perpetual products as of February 1, 2016.</w:t>
      </w:r>
    </w:p>
    <w:p>
      <w:pPr>
        <w:spacing w:after="0" w:line="18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At July 31, 2016, our short-term investment portfolio had an estimated fair value of $597.6 million and a cost basis of $595.6 million. The portfolio fair value consisted of $267.3 million invested in corporate bonds, $119.4 million invested in commercial paper, $55.4 million invested in certificates of deposit, $41.9 million invested in agency bonds, $37.6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invested in U.S. government securities, $19.6 million invested in sovereign debt, and $10.8 million invested in asset backed securities.</w:t>
      </w:r>
    </w:p>
    <w:p>
      <w:pPr>
        <w:spacing w:after="0" w:line="22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At July 31, 2016, $45.6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62" w:lineRule="exact"/>
        <w:rPr>
          <w:sz w:val="20"/>
          <w:szCs w:val="20"/>
          <w:color w:val="auto"/>
        </w:rPr>
      </w:pPr>
    </w:p>
    <w:p>
      <w:pPr>
        <w:ind w:right="720" w:firstLine="405"/>
        <w:spacing w:after="0" w:line="266" w:lineRule="auto"/>
        <w:rPr>
          <w:sz w:val="20"/>
          <w:szCs w:val="20"/>
          <w:color w:val="auto"/>
        </w:rPr>
      </w:pPr>
      <w:r>
        <w:rPr>
          <w:rFonts w:ascii="Times New Roman" w:cs="Times New Roman" w:eastAsia="Times New Roman" w:hAnsi="Times New Roman"/>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7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8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July 31, 2016,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2016.</w:t>
      </w:r>
    </w:p>
    <w:p>
      <w:pPr>
        <w:spacing w:after="0" w:line="17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cash, cash equivalent and marketable securities balances are concentrated in a few locations around the world, with substantial amounts held outside of the U.S. As of July 31, 2016, approximately 86%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and economic conditions, the number of employee stock option exercises and restricted stock unit issuances, the trading price of Autodesk common stock, cash on hand and available in the United States, cash requirements for acquisitions, and Company defined trading windows.</w:t>
      </w:r>
    </w:p>
    <w:p>
      <w:pPr>
        <w:spacing w:after="0" w:line="18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July 31, 2016, we repurchased 3.0 million and 4.8 million shares of our common stock, respectively. At July 31, 2016, 1.5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580" w:right="25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quarter ended July 31, 2016: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(Shares in millions)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 Plans</w:t>
            </w: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May 1 - May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1 - June 30</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54.98</w:t>
            </w:r>
          </w:p>
        </w:tc>
        <w:tc>
          <w:tcPr>
            <w:tcW w:w="100" w:type="dxa"/>
            <w:vAlign w:val="bottom"/>
          </w:tcPr>
          <w:p>
            <w:pPr>
              <w:spacing w:after="0"/>
              <w:rPr>
                <w:sz w:val="20"/>
                <w:szCs w:val="20"/>
                <w:color w:val="auto"/>
              </w:rPr>
            </w:pPr>
          </w:p>
        </w:tc>
        <w:tc>
          <w:tcPr>
            <w:tcW w:w="2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2.0</w:t>
            </w:r>
          </w:p>
        </w:tc>
        <w:tc>
          <w:tcPr>
            <w:tcW w:w="238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1 - July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56.76</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tcPr>
          <w:p>
            <w:pPr>
              <w:spacing w:after="0"/>
              <w:rPr>
                <w:sz w:val="21"/>
                <w:szCs w:val="21"/>
                <w:color w:val="auto"/>
              </w:rPr>
            </w:pPr>
          </w:p>
        </w:tc>
        <w:tc>
          <w:tcPr>
            <w:tcW w:w="22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purchased in open-market transactions under the stock repurchase plan approved by the Board of Directors.</w:t>
      </w:r>
    </w:p>
    <w:p>
      <w:pPr>
        <w:spacing w:after="0" w:line="9" w:lineRule="exact"/>
        <w:rPr>
          <w:rFonts w:ascii="Times New Roman" w:cs="Times New Roman" w:eastAsia="Times New Roman" w:hAnsi="Times New Roman"/>
          <w:sz w:val="16"/>
          <w:szCs w:val="16"/>
          <w:color w:val="auto"/>
        </w:rPr>
      </w:pPr>
    </w:p>
    <w:p>
      <w:pPr>
        <w:ind w:left="420" w:right="140" w:hanging="412"/>
        <w:spacing w:after="0" w:line="257" w:lineRule="auto"/>
        <w:tabs>
          <w:tab w:leader="none" w:pos="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approved by the Board of Directors in June 2012 that authorized the repurchase of 30.0 million shares. This plan does not have a fixed expiration date.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six months ended July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2016,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7"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Annualized Recurring Revenue (ARR)—</w:t>
      </w:r>
      <w:r>
        <w:rPr>
          <w:rFonts w:ascii="Times New Roman" w:cs="Times New Roman" w:eastAsia="Times New Roman" w:hAnsi="Times New Roman"/>
          <w:sz w:val="18"/>
          <w:szCs w:val="18"/>
          <w:color w:val="auto"/>
        </w:rPr>
        <w:t>Represents the annualized value of our average monthly recurring revenue for the preceding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ARR" captures ARR relating to traditional maintenance attached to perpetual licenses. "New Model ARR" captures ARR relating to new model subscription offerings. Recurring revenue acquired with the acquisition of a business may cause variability in the comparison of this calculation. ARR is currently our key performance metric to assess the health and trajectory of our business. ARR should be viewed independently of revenue and deferred revenue as ARR is a performance metric and is not intended to be combined with any of these items.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Revenue Per Subscription (ARPS)—</w:t>
      </w:r>
      <w:r>
        <w:rPr>
          <w:rFonts w:ascii="Times New Roman" w:cs="Times New Roman" w:eastAsia="Times New Roman" w:hAnsi="Times New Roman"/>
          <w:sz w:val="18"/>
          <w:szCs w:val="18"/>
          <w:color w:val="auto"/>
        </w:rPr>
        <w:t>Is calculated by dividing our annualized recurring revenue by total subscriptions.</w:t>
      </w:r>
    </w:p>
    <w:p>
      <w:pPr>
        <w:spacing w:after="0" w:line="223" w:lineRule="exact"/>
        <w:rPr>
          <w:sz w:val="20"/>
          <w:szCs w:val="20"/>
          <w:color w:val="auto"/>
        </w:rPr>
      </w:pPr>
    </w:p>
    <w:p>
      <w:pPr>
        <w:ind w:right="2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Building Information Modeling (BIM)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BIM describes a model-based technology linked with a database of project information, and is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1" w:lineRule="exact"/>
        <w:rPr>
          <w:sz w:val="20"/>
          <w:szCs w:val="20"/>
          <w:color w:val="auto"/>
        </w:rPr>
      </w:pPr>
    </w:p>
    <w:p>
      <w:pPr>
        <w:ind w:right="36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Cloud service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55"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Constant currency (CC) growth rates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1"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Flexible Enterprise Business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programs providing enterprise customers with token-based access or a fixed maximum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seats to a broad pool of Autodesk products over a defined contract term.</w:t>
      </w:r>
    </w:p>
    <w:p>
      <w:pPr>
        <w:spacing w:after="0" w:line="155"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License and other revenue consists of two components: (1) all forms of product license revenue and (2) other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580" w:right="259" w:bottom="1440" w:gutter="0" w:footer="0" w:header="0"/>
        </w:sectPr>
      </w:pPr>
    </w:p>
    <w:bookmarkStart w:id="48" w:name="page49"/>
    <w:bookmarkEnd w:id="48"/>
    <w:p>
      <w:pPr>
        <w:ind w:right="10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Maintenance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maintenance plans provide our customers with a cost effective and predictable budgetary option to obtain the productivity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w:t>
      </w:r>
    </w:p>
    <w:p>
      <w:pPr>
        <w:spacing w:after="0" w:line="177"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New Model Subscription Offerings (New Model)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Comprises our term-based product subscriptions (formerly titled Desktop subscription), cloud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and flexible enterprise business agreements.</w:t>
      </w:r>
    </w:p>
    <w:p>
      <w:pPr>
        <w:spacing w:after="0" w:line="155" w:lineRule="exact"/>
        <w:rPr>
          <w:sz w:val="20"/>
          <w:szCs w:val="20"/>
          <w:color w:val="auto"/>
        </w:rPr>
      </w:pPr>
    </w:p>
    <w:p>
      <w:pPr>
        <w:ind w:right="6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Recurring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the revenue for the period from our traditional maintenance plans and revenue from our new model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including portions of revenue allocated to license &amp; other revenue for those offerings. It excludes subscription revenue related to consumer product offerings, select Creative Finishing product offerings, Autodesk Buzzsaw, Autodesk Constructware, education offerings, and third party products. Recurring revenue acquired with the acquisition of a business is captured and may cause variability in the comparison of this calculation.</w:t>
      </w:r>
    </w:p>
    <w:p>
      <w:pPr>
        <w:spacing w:after="0" w:line="177"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Suites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Autodesk suites are a combination of products that target a specific user objective (product design, building design, etc.)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primary suites include: Autodesk Building Design Suite, Autodesk Entertainment Creation Suite, Autodesk Factory Design Suite, Autodesk Infrastructure Design Suite, Autodesk Plant Design Suite, and Autodesk Product Design Suite.</w:t>
      </w:r>
    </w:p>
    <w:p>
      <w:pPr>
        <w:spacing w:after="0" w:line="171"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Subscription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Autodesk subscription revenue consists of three components: (1) maintenance revenue from our perpetual software products;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revenue from our term-based product subscriptions and flexible enterprise business agreements; and (3) revenue from our cloud service offerings.</w:t>
      </w:r>
    </w:p>
    <w:p>
      <w:pPr>
        <w:spacing w:after="0" w:line="173"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Total Subscriptions</w:t>
      </w:r>
      <w:r>
        <w:rPr>
          <w:rFonts w:ascii="Times New Roman" w:cs="Times New Roman" w:eastAsia="Times New Roman" w:hAnsi="Times New Roman"/>
          <w:sz w:val="18"/>
          <w:szCs w:val="18"/>
          <w:color w:val="auto"/>
        </w:rPr>
        <w:t>—Consists of subscriptions from our maintenance plans and new model subscription offerings that are active and paid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 date. For certain cloud service offerings and flexible enterprise business agreements,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2016 and January 31, 2016,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$357.0 million and $374.0 million at July 31, 2016 and January 31, 2016, respectively.</w:t>
      </w:r>
    </w:p>
    <w:p>
      <w:pPr>
        <w:spacing w:after="0" w:line="185"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sensitivity analysis performed on our hedging portfolio as of July 31, 2016 indicated that a hypothetical 10% appreciation of the U.S. dollar from its value at July 31, 2016 and January 31, 2016 would increase the fair value of our foreign currency contracts by $18.4 million and $33.3 million, respectively. A hypothetical 10% depreciation of the dollar from its value at July 31, 2016 and January 31, 2016 would decrease the fair value of our foreign currency contracts by $17.7 million and $25.6 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7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 term investments and the market value of certain longer term securities. At July 31, 2016, we had $2.0 billion of cash equivalents and marketable securities, including $597.6 million classified as short-term marketable securities and $505.6 million classified as long-term marketable securities. If interest rates were to move up or down by 50 or 100 basis points over a twelve month period, the market value change of our marketable securities would have an unrealized gain or loss of $5.2 million and $9.3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340" w:firstLine="8"/>
        <w:spacing w:after="0" w:line="252"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Quarterly Report on Form 10-Q. Based upon this evaluation, our Chief Executive Officer and Chief Financial Officer have concluded that our disclosure controls and procedures were not effective as of July 31, 2016 for the reasons described below.</w:t>
      </w:r>
    </w:p>
    <w:p>
      <w:pPr>
        <w:spacing w:after="0" w:line="19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4"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We have performed additional analyses and other procedures to enable management to conclude that, notwithstanding the existence of the material weakness described above, the consolidated financial statements included in this Form 10-Q present fairly, in all material respects, our financial position, results of operations and cash flows for the periods presented in conformity with GAAP.</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576"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Remediation Efforts with Respect to Material Weakness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technical accounting review for complex income tax considerations;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income tax controls to include specific activities to ensure proper classification of deferred taxes;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assessed </w:t>
      </w:r>
      <w:r>
        <w:rPr>
          <w:rFonts w:ascii="Times New Roman" w:cs="Times New Roman" w:eastAsia="Times New Roman" w:hAnsi="Times New Roman"/>
          <w:sz w:val="19"/>
          <w:szCs w:val="19"/>
          <w:color w:val="auto"/>
        </w:rPr>
        <w:t>an</w:t>
      </w:r>
      <w:r>
        <w:rPr>
          <w:rFonts w:ascii="Times New Roman" w:cs="Times New Roman" w:eastAsia="Times New Roman" w:hAnsi="Times New Roman"/>
          <w:sz w:val="18"/>
          <w:szCs w:val="18"/>
          <w:color w:val="auto"/>
        </w:rPr>
        <w:t>d reorganized the structure of our tax function to enhance the level of documentation, technical oversight and review</w:t>
      </w:r>
    </w:p>
    <w:p>
      <w:pPr>
        <w:spacing w:after="0" w:line="232" w:lineRule="exact"/>
        <w:rPr>
          <w:sz w:val="20"/>
          <w:szCs w:val="20"/>
          <w:color w:val="auto"/>
        </w:rPr>
      </w:pPr>
    </w:p>
    <w:p>
      <w:pPr>
        <w:jc w:val="both"/>
        <w:ind w:right="80" w:firstLine="392"/>
        <w:spacing w:after="0" w:line="266" w:lineRule="auto"/>
        <w:rPr>
          <w:sz w:val="20"/>
          <w:szCs w:val="20"/>
          <w:color w:val="auto"/>
        </w:rPr>
      </w:pPr>
      <w:r>
        <w:rPr>
          <w:rFonts w:ascii="Times New Roman" w:cs="Times New Roman" w:eastAsia="Times New Roman" w:hAnsi="Times New Roman"/>
          <w:sz w:val="18"/>
          <w:szCs w:val="18"/>
          <w:color w:val="auto"/>
        </w:rPr>
        <w:t>Management will continue to enhance its controls to include refinements and improvements to certain controls over the accounting for income taxes. The Company’s enhanced controls will continue to evolve and have not had a sufficient period of time to operate for management to conclude that they are operating effectively. Management believes the foregoing efforts will effectively remediate the material weakness.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than with respect to the remediation efforts described above, there were no changes in our internal control over financial reporting (as such term is defined in Rules 13a-15(f) and 15d-15(f) under the Exchange Act) during the quarter ended July 31, 2016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240" w:top="576" w:right="3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business, financial results and financial condition.</w:t>
      </w:r>
    </w:p>
    <w:p>
      <w:pPr>
        <w:spacing w:after="0" w:line="227" w:lineRule="exact"/>
        <w:rPr>
          <w:sz w:val="20"/>
          <w:szCs w:val="20"/>
          <w:color w:val="auto"/>
        </w:rPr>
      </w:pPr>
    </w:p>
    <w:p>
      <w:pPr>
        <w:ind w:right="120" w:firstLine="392"/>
        <w:spacing w:after="0" w:line="256" w:lineRule="auto"/>
        <w:rPr>
          <w:sz w:val="20"/>
          <w:szCs w:val="20"/>
          <w:color w:val="auto"/>
        </w:rPr>
      </w:pPr>
      <w:r>
        <w:rPr>
          <w:rFonts w:ascii="Times New Roman" w:cs="Times New Roman" w:eastAsia="Times New Roman" w:hAnsi="Times New Roman"/>
          <w:sz w:val="18"/>
          <w:szCs w:val="18"/>
          <w:color w:val="auto"/>
        </w:rPr>
        <w:t>As our business has expanded globally, we have increasingly become subject to risks arising from adverse changes in global economic and political conditions. The past several years were characterized by mixed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88" w:lineRule="exact"/>
        <w:rPr>
          <w:sz w:val="20"/>
          <w:szCs w:val="20"/>
          <w:color w:val="auto"/>
        </w:rPr>
      </w:pPr>
    </w:p>
    <w:p>
      <w:pPr>
        <w:ind w:right="220" w:firstLine="392"/>
        <w:spacing w:after="0" w:line="256" w:lineRule="auto"/>
        <w:rPr>
          <w:sz w:val="20"/>
          <w:szCs w:val="20"/>
          <w:color w:val="auto"/>
        </w:rPr>
      </w:pPr>
      <w:r>
        <w:rPr>
          <w:rFonts w:ascii="Times New Roman" w:cs="Times New Roman" w:eastAsia="Times New Roman" w:hAnsi="Times New Roman"/>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88" w:lineRule="exact"/>
        <w:rPr>
          <w:sz w:val="20"/>
          <w:szCs w:val="20"/>
          <w:color w:val="auto"/>
        </w:rPr>
      </w:pPr>
    </w:p>
    <w:p>
      <w:pPr>
        <w:ind w:right="200" w:firstLine="392"/>
        <w:spacing w:after="0" w:line="282" w:lineRule="auto"/>
        <w:rPr>
          <w:sz w:val="20"/>
          <w:szCs w:val="20"/>
          <w:color w:val="auto"/>
        </w:rPr>
      </w:pPr>
      <w:r>
        <w:rPr>
          <w:rFonts w:ascii="Times New Roman" w:cs="Times New Roman" w:eastAsia="Times New Roman" w:hAnsi="Times New Roman"/>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credit available to and the insolvency of key channel partners, which may impair our distribution channels and cash flows;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failures negatively impacting our treasury functions, including timely access to our cash reserves and third-party fulfillment of hedging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failures negatively affecting our insured risks;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banks to honor our existing line of credit, which could increase our borrowing expenses or eliminate our ability to obtain short-term financing;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2" w:name="page53"/>
    <w:bookmarkEnd w:id="52"/>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addition, on June 23, 2016, voters in the United Kingdom approved an advisory referendum to withdraw from the European Union (commonly referred to as “Brexit”). The Brexit vote and the perceptions as to the impact of the withdrawal of the United Kingdom from the European Union may adversely affect business activity, political stability and economic conditions in the United Kingdom, the European Union and elsewhere.</w:t>
      </w:r>
    </w:p>
    <w:p>
      <w:pPr>
        <w:spacing w:after="0" w:line="176"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62" w:lineRule="exact"/>
        <w:rPr>
          <w:sz w:val="20"/>
          <w:szCs w:val="20"/>
          <w:color w:val="auto"/>
        </w:rPr>
      </w:pPr>
    </w:p>
    <w:p>
      <w:pPr>
        <w:ind w:right="320" w:firstLine="392"/>
        <w:spacing w:after="0" w:line="282" w:lineRule="auto"/>
        <w:rPr>
          <w:sz w:val="20"/>
          <w:szCs w:val="20"/>
          <w:color w:val="auto"/>
        </w:rPr>
      </w:pPr>
      <w:r>
        <w:rPr>
          <w:rFonts w:ascii="Times New Roman" w:cs="Times New Roman" w:eastAsia="Times New Roman" w:hAnsi="Times New Roman"/>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6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60" w:lineRule="exact"/>
        <w:rPr>
          <w:sz w:val="20"/>
          <w:szCs w:val="20"/>
          <w:color w:val="auto"/>
        </w:rPr>
      </w:pPr>
    </w:p>
    <w:p>
      <w:pPr>
        <w:ind w:right="160" w:firstLine="378"/>
        <w:spacing w:after="0" w:line="255" w:lineRule="auto"/>
        <w:rPr>
          <w:sz w:val="20"/>
          <w:szCs w:val="20"/>
          <w:color w:val="auto"/>
        </w:rPr>
      </w:pPr>
      <w:r>
        <w:rPr>
          <w:rFonts w:ascii="Times New Roman" w:cs="Times New Roman" w:eastAsia="Times New Roman" w:hAnsi="Times New Roman"/>
          <w:sz w:val="18"/>
          <w:szCs w:val="18"/>
          <w:color w:val="auto"/>
        </w:rPr>
        <w:t>To address the industry transition from personal computer to cloud, mobile, and social computing, we have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8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8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6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3" w:name="page54"/>
    <w:bookmarkEnd w:id="53"/>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8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Our entry into 3D printing presents many of the risks described above concerning developing and introducing new products as well as new risks for us. The manufacturing and 3D printing markets are highly competitive and some of our competitors have experience and resources superior to ours.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our offerings may be difficult to predict during our business model transition.</w:t>
      </w:r>
    </w:p>
    <w:p>
      <w:pPr>
        <w:spacing w:after="0" w:line="227"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The discontinuance of our perpetual licenses for most individual software products on February 1, 2016 and for perpetual suites on August 1, 2016 will result in the loss of future up-front licensing revenue. This also will freeze the growth of our maintenance subscription revenue because there will be no further opportunities to attach maintenance licensing once we cease the sale of suites licenses. We expect our maintenance subscription revenue to decline over time, but it may decline more quickly than anticipated due to low maintenance renewals. At the same time, our new model subscription revenue may not grow as rapidly as anticipated. Our new model subscription pricing allows customers to use our offerings at a lower initial cost when compared to the sale of a perpetual license. Although our new model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2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6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are dependent on our international operations for a significant portion of our revenue. International net revenue represented 64% and 69% of our net revenue for the six months ended July 31, 2016 and 2015,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4" w:name="page55"/>
    <w:bookmarkEnd w:id="54"/>
    <w:p>
      <w:pPr>
        <w:spacing w:after="0" w:line="255" w:lineRule="auto"/>
        <w:rPr>
          <w:sz w:val="20"/>
          <w:szCs w:val="20"/>
          <w:color w:val="auto"/>
        </w:rPr>
      </w:pPr>
      <w:r>
        <w:rPr>
          <w:rFonts w:ascii="Times New Roman" w:cs="Times New Roman" w:eastAsia="Times New Roman" w:hAnsi="Times New Roman"/>
          <w:sz w:val="18"/>
          <w:szCs w:val="18"/>
          <w:color w:val="auto"/>
        </w:rPr>
        <w:t>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2012 and 2015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including risks related to any hedging activities we undertake;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purchase patterns as compared to the developed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enforcement by the U.S. under the Foreign Corrupt Practices Act, and adoption of stricter anti-corruption laws in certain countries, including the United Kingdom;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 for accounts receivable;</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tax laws, including possible U.S. and foreign tax law changes that, if enacted, could significantly impact how multinational companies are taxed;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arrangements with foreign governments, including our ability to meet and renew the terms of those tax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regarding the management of and access to data and public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future limitations upon foreign owned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protecting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piracy;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natural disasters, and diseases.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20"/>
          </w:cols>
          <w:pgMar w:left="240" w:top="580" w:right="339" w:bottom="1440" w:gutter="0" w:footer="0" w:header="0"/>
        </w:sectPr>
      </w:pPr>
    </w:p>
    <w:bookmarkStart w:id="55" w:name="page56"/>
    <w:bookmarkEnd w:id="55"/>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88"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Actions that we are taking to restructure our business in alignment with our business model transition strategy may be costly and may not be as effective as anticipated.</w:t>
      </w:r>
    </w:p>
    <w:p>
      <w:pPr>
        <w:spacing w:after="0" w:line="160"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2017, we commenced a company-wide restructuring plan to accelerate the Company’s move to the cloud and its transition to a subscription-based business model. Through the restructuring, we seek to reduce expenses, streamline the organization, and reallocate resources to align more closely with the Company’s needs going forward. As a result of these actions, we have incurred and will incur additional costs in the short term that have the effect of reducing our operating margins. If we are unable to realize the expected outcomes from the restructuring efforts, our business and operating results may be harmed.</w:t>
      </w:r>
    </w:p>
    <w:p>
      <w:pPr>
        <w:spacing w:after="0" w:line="182"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Our software is highly complex and may contain undetected errors, defects or vulnerabilities, each of which could harm our business and financial performance.</w:t>
      </w:r>
    </w:p>
    <w:p>
      <w:pPr>
        <w:spacing w:after="0" w:line="160" w:lineRule="exact"/>
        <w:rPr>
          <w:sz w:val="20"/>
          <w:szCs w:val="20"/>
          <w:color w:val="auto"/>
        </w:rPr>
      </w:pPr>
    </w:p>
    <w:p>
      <w:pPr>
        <w:ind w:right="160" w:firstLine="392"/>
        <w:spacing w:after="0" w:line="261" w:lineRule="auto"/>
        <w:rPr>
          <w:sz w:val="20"/>
          <w:szCs w:val="20"/>
          <w:color w:val="auto"/>
        </w:rPr>
      </w:pPr>
      <w:r>
        <w:rPr>
          <w:rFonts w:ascii="Times New Roman" w:cs="Times New Roman" w:eastAsia="Times New Roman" w:hAnsi="Times New Roman"/>
          <w:sz w:val="18"/>
          <w:szCs w:val="18"/>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27" w:lineRule="exact"/>
        <w:rPr>
          <w:sz w:val="20"/>
          <w:szCs w:val="20"/>
          <w:color w:val="auto"/>
        </w:rPr>
      </w:pPr>
    </w:p>
    <w:p>
      <w:pPr>
        <w:ind w:right="40" w:firstLine="392"/>
        <w:spacing w:after="0" w:line="254" w:lineRule="auto"/>
        <w:rPr>
          <w:sz w:val="20"/>
          <w:szCs w:val="20"/>
          <w:color w:val="auto"/>
        </w:rPr>
      </w:pPr>
      <w:r>
        <w:rPr>
          <w:rFonts w:ascii="Times New Roman" w:cs="Times New Roman" w:eastAsia="Times New Roman" w:hAnsi="Times New Roman"/>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27" w:lineRule="exact"/>
        <w:rPr>
          <w:sz w:val="20"/>
          <w:szCs w:val="20"/>
          <w:color w:val="auto"/>
        </w:rPr>
      </w:pPr>
    </w:p>
    <w:p>
      <w:pPr>
        <w:ind w:right="100" w:firstLine="432"/>
        <w:spacing w:after="0" w:line="277" w:lineRule="auto"/>
        <w:rPr>
          <w:sz w:val="20"/>
          <w:szCs w:val="20"/>
          <w:color w:val="auto"/>
        </w:rPr>
      </w:pPr>
      <w:r>
        <w:rPr>
          <w:rFonts w:ascii="Times New Roman" w:cs="Times New Roman" w:eastAsia="Times New Roman" w:hAnsi="Times New Roman"/>
          <w:sz w:val="17"/>
          <w:szCs w:val="17"/>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For example, the June 23, 2016 announcement of Brexit caused significant volatility in global stock markets and currency exchange rate 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6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96" w:right="239" w:bottom="1440" w:gutter="0" w:footer="0" w:header="0"/>
        </w:sectPr>
      </w:pPr>
    </w:p>
    <w:bookmarkStart w:id="56" w:name="page57"/>
    <w:bookmarkEnd w:id="56"/>
    <w:p>
      <w:pPr>
        <w:ind w:right="200"/>
        <w:spacing w:after="0" w:line="282" w:lineRule="auto"/>
        <w:rPr>
          <w:sz w:val="20"/>
          <w:szCs w:val="20"/>
          <w:color w:val="auto"/>
        </w:rPr>
      </w:pPr>
      <w:r>
        <w:rPr>
          <w:rFonts w:ascii="Times New Roman" w:cs="Times New Roman" w:eastAsia="Times New Roman" w:hAnsi="Times New Roman"/>
          <w:sz w:val="18"/>
          <w:szCs w:val="18"/>
          <w:color w:val="auto"/>
        </w:rPr>
        <w:t>protection against currency exposures. However, our attempts to hedge against these risks may not be completely successful, resulting in an adverse impact on our financial results.</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7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6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8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60"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9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580" w:right="259" w:bottom="1440" w:gutter="0" w:footer="0" w:header="0"/>
        </w:sectPr>
      </w:pPr>
    </w:p>
    <w:bookmarkStart w:id="57" w:name="page58"/>
    <w:bookmarkEnd w:id="57"/>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188"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8"/>
          <w:szCs w:val="18"/>
          <w:color w:val="auto"/>
        </w:rPr>
        <w:t>In addition, in October 2015 the European Court of Justice issued a ruling immediately invalidating the U.S.-EU Safe Harbor Framework, which facilitated personal data transfers to the U.S. in compliance with applicable EU data protection laws. In February of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regulatory focus on privacy issues could impact our new business models and expose us to increased liability.</w:t>
      </w:r>
    </w:p>
    <w:p>
      <w:pPr>
        <w:spacing w:after="0" w:line="22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78"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76"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sell our software products both directly to end-users and through a network of distributors and resellers. For the six months ended July 31, 2016 and 2015, approximately 75% and 81%,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580" w:right="259" w:bottom="1440" w:gutter="0" w:footer="0" w:header="0"/>
        </w:sectPr>
      </w:pPr>
    </w:p>
    <w:bookmarkStart w:id="58" w:name="page59"/>
    <w:bookmarkEnd w:id="58"/>
    <w:p>
      <w:pPr>
        <w:jc w:val="both"/>
        <w:ind w:right="80" w:firstLine="432"/>
        <w:spacing w:after="0" w:line="258"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the distributor Tech Data Corporation and its global affiliates (“Tech Data”). Tech Data accounted for 30% of our total net revenue for the six months ended July 31, 2016, as compared to 25% of our total net revenue for the six months ended July 31, 2015.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4"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our revenue is generated through maintenance revenue; decreases in maintenance renewal rates would negatively impact our future revenue and financial results.</w:t>
      </w:r>
    </w:p>
    <w:p>
      <w:pPr>
        <w:spacing w:after="0" w:line="160"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Our maintenance customers have no obligation to attach maintenance to their initial license or renew their maintenance contract after the expiration of their initial maintenance period, which is typically one year. The discontinuance of our perpetual licenses for most individual software products on February 1, 2016 and for perpetual suites on August 1, 2016 will result in the loss of future maintenance attach opportunities and freeze maintenance growth. We expect customers' renewal rates will decline or fluctuate over time as a result of a number of factors, including the overall global economy, the health of their businesses, and the perceived value of the maintenance program. If our customers do not renew their maintenance contract for our products, our maintenance revenue will decline and our financial results will suffer.</w:t>
      </w:r>
    </w:p>
    <w:p>
      <w:pPr>
        <w:spacing w:after="0" w:line="188"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results fluctuate within each quarter and from quarter to quarter making our future revenue and financial results difficult to predict.</w:t>
      </w:r>
    </w:p>
    <w:p>
      <w:pPr>
        <w:spacing w:after="0" w:line="22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particular geographies, including Europe, APAC, and emerging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produce sufficient revenue, billings or subscription growth, and profitability;</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anticipated levels of customer acceptance of our business model transition, including the impact of the end of upgrades and perpetual licenses;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or other rule-making bodies;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796" w:right="239" w:bottom="1440" w:gutter="0" w:footer="0" w:header="0"/>
        </w:sectPr>
      </w:pPr>
    </w:p>
    <w:bookmarkStart w:id="59" w:name="page60"/>
    <w:bookmarkEnd w:id="59"/>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maintain cost reductions and productivity increases;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and the timing of large transactions;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 pricing pressure or changes in product pricing;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billings linearity;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governments around the world to adopt fiscal policies, meet their financial and debt obligations, and to finance infrastructure projects;</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growth or contraction of our maintenance program;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25"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rapidly adapt to technological and customer preference changes, including those related to cloud computing, mobile devices, new computing platforms, and 3D printing;</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of new products by us or our competitors;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or sales initiatives;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25"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or actual technical or other problems with a product or combination of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cloud services-related 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potential financial penalties to customers and government entities;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additional investments in the development of our platform or deployment of our services;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product releases and retirements;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tax arrangements with foreign governments or accounting rules, such as increased use of fair value measures;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sales compensation practices;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implement our copyright legalization programs, especially in developing countries;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sufficient sell-through in our channels for new or existing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degree of expected investments in growth and efficiency opportunities;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natural disasters;</w:t>
      </w:r>
    </w:p>
    <w:p>
      <w:pPr>
        <w:spacing w:after="0" w:line="252"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8"/>
          </w:cols>
          <w:pgMar w:left="572" w:top="580" w:right="379" w:bottom="1440" w:gutter="0" w:footer="0" w:header="0"/>
        </w:sectPr>
      </w:pPr>
    </w:p>
    <w:bookmarkStart w:id="60" w:name="page61"/>
    <w:bookmarkEnd w:id="60"/>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appropriately estimate the scope of services under consulting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arising from ongoing or future tax examinations.</w:t>
      </w:r>
    </w:p>
    <w:p>
      <w:pPr>
        <w:spacing w:after="0" w:line="225" w:lineRule="exact"/>
        <w:rPr>
          <w:sz w:val="20"/>
          <w:szCs w:val="20"/>
          <w:color w:val="auto"/>
        </w:rPr>
      </w:pPr>
    </w:p>
    <w:p>
      <w:pPr>
        <w:ind w:right="240" w:firstLine="392"/>
        <w:spacing w:after="0" w:line="266"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76"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suffer as a result of risks, costs, charges and integration risks associated with strategic acquisitions and investments.</w:t>
      </w:r>
    </w:p>
    <w:p>
      <w:pPr>
        <w:spacing w:after="0" w:line="227" w:lineRule="exact"/>
        <w:rPr>
          <w:sz w:val="20"/>
          <w:szCs w:val="20"/>
          <w:color w:val="auto"/>
        </w:rPr>
      </w:pPr>
    </w:p>
    <w:p>
      <w:pPr>
        <w:ind w:right="20" w:firstLine="392"/>
        <w:spacing w:after="0" w:line="254" w:lineRule="auto"/>
        <w:rPr>
          <w:sz w:val="20"/>
          <w:szCs w:val="20"/>
          <w:color w:val="auto"/>
        </w:rPr>
      </w:pPr>
      <w:r>
        <w:rPr>
          <w:rFonts w:ascii="Times New Roman" w:cs="Times New Roman" w:eastAsia="Times New Roman" w:hAnsi="Times New Roman"/>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For example, we face risks relating to our fiscal 2017 integration of our Delcam subsidiaries, which previously operated autonomously.</w:t>
      </w:r>
    </w:p>
    <w:p>
      <w:pPr>
        <w:spacing w:after="0"/>
        <w:rPr>
          <w:sz w:val="20"/>
          <w:szCs w:val="20"/>
          <w:color w:val="auto"/>
        </w:rPr>
      </w:pPr>
      <w:r>
        <w:rPr>
          <w:rFonts w:ascii="Times New Roman" w:cs="Times New Roman" w:eastAsia="Times New Roman" w:hAnsi="Times New Roman"/>
          <w:sz w:val="18"/>
          <w:szCs w:val="18"/>
          <w:color w:val="auto"/>
        </w:rPr>
        <w:t>In addition, such acquisitions and investments involve other risks such as:</w:t>
      </w:r>
    </w:p>
    <w:p>
      <w:pPr>
        <w:spacing w:after="0" w:line="20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product does not identify significant problems;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incompatible business cultures;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exposure to fluctuations in currency exchange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3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240" w:top="796" w:right="319" w:bottom="1440" w:gutter="0" w:footer="0" w:header="0"/>
        </w:sectPr>
      </w:pPr>
    </w:p>
    <w:bookmarkStart w:id="61" w:name="page62"/>
    <w:bookmarkEnd w:id="61"/>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Because we derive a substantial portion of our net revenue from a small number of products, including our AutoCAD- based software products, if these products are not successful, our revenue will be adversely affected.</w:t>
      </w:r>
    </w:p>
    <w:p>
      <w:pPr>
        <w:spacing w:after="0" w:line="160"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licenses of a limited number of our products, including AutoCAD software and products based on AutoCAD, which included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2016, combined revenue from our AutoCAD and AutoCAD LT products, not including suites having AutoCAD or AutoCAD LT as a component, represented 15% of total net revenue compared to 25% during the six months ended July 31,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8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8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6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8" w:right="239" w:bottom="1440" w:gutter="0" w:footer="0" w:header="0"/>
        </w:sectPr>
      </w:pPr>
    </w:p>
    <w:bookmarkStart w:id="62" w:name="page63"/>
    <w:bookmarkEnd w:id="62"/>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2"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technical accounting review for complex income tax considerations;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income tax controls to include specific activities to ensure proper classification of deferred taxes;</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assessed </w:t>
      </w:r>
      <w:r>
        <w:rPr>
          <w:rFonts w:ascii="Times New Roman" w:cs="Times New Roman" w:eastAsia="Times New Roman" w:hAnsi="Times New Roman"/>
          <w:sz w:val="19"/>
          <w:szCs w:val="19"/>
          <w:color w:val="auto"/>
        </w:rPr>
        <w:t>an</w:t>
      </w:r>
      <w:r>
        <w:rPr>
          <w:rFonts w:ascii="Times New Roman" w:cs="Times New Roman" w:eastAsia="Times New Roman" w:hAnsi="Times New Roman"/>
          <w:sz w:val="18"/>
          <w:szCs w:val="18"/>
          <w:color w:val="auto"/>
        </w:rPr>
        <w:t>d reorganized the structure of our tax function to enhance the level of documentation, technical oversight and review.</w:t>
      </w:r>
    </w:p>
    <w:p>
      <w:pPr>
        <w:spacing w:after="0" w:line="23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Condensed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billings, earnings or subscriptions shortfalls or the volatility of the market generally may cause the market price of our stock to decline.</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our expected financial results, including net revenue, billings, earnings, subscriptions, or other key performance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future projections related to our business model transition, including the impact of the end of upgrades and perpetual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20"/>
          </w:cols>
          <w:pgMar w:left="240" w:top="578" w:right="339" w:bottom="1440" w:gutter="0" w:footer="0" w:header="0"/>
        </w:sectPr>
      </w:pPr>
    </w:p>
    <w:bookmarkStart w:id="63" w:name="page64"/>
    <w:bookmarkEnd w:id="63"/>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debt service obligations;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162"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2"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8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80" w:right="239" w:bottom="1440" w:gutter="0" w:footer="0" w:header="0"/>
        </w:sectPr>
      </w:pPr>
    </w:p>
    <w:bookmarkStart w:id="64" w:name="page65"/>
    <w:bookmarkEnd w:id="64"/>
    <w:p>
      <w:pPr>
        <w:spacing w:after="0" w:line="261" w:lineRule="auto"/>
        <w:rPr>
          <w:sz w:val="20"/>
          <w:szCs w:val="20"/>
          <w:color w:val="auto"/>
        </w:rPr>
      </w:pPr>
      <w:r>
        <w:rPr>
          <w:rFonts w:ascii="Times New Roman" w:cs="Times New Roman" w:eastAsia="Times New Roman" w:hAnsi="Times New Roman"/>
          <w:sz w:val="18"/>
          <w:szCs w:val="18"/>
          <w:color w:val="auto"/>
        </w:rPr>
        <w:t>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27"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76"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8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78"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37"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4" w:lineRule="exact"/>
        <w:rPr>
          <w:sz w:val="20"/>
          <w:szCs w:val="20"/>
          <w:color w:val="auto"/>
        </w:rPr>
      </w:pPr>
    </w:p>
    <w:p>
      <w:pPr>
        <w:ind w:right="320" w:firstLine="392"/>
        <w:spacing w:after="0" w:line="261" w:lineRule="auto"/>
        <w:rPr>
          <w:sz w:val="20"/>
          <w:szCs w:val="20"/>
          <w:color w:val="auto"/>
        </w:rPr>
      </w:pPr>
      <w:r>
        <w:rPr>
          <w:rFonts w:ascii="Times New Roman" w:cs="Times New Roman" w:eastAsia="Times New Roman" w:hAnsi="Times New Roman"/>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178"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6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We are subject to risks related to taxation in multiple jurisdictions.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Tax laws are dynamic and subject to change as new laws are passed and new interpretations of the law are issued or applied.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8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60" w:lineRule="exact"/>
        <w:rPr>
          <w:sz w:val="20"/>
          <w:szCs w:val="20"/>
          <w:color w:val="auto"/>
        </w:rPr>
      </w:pPr>
    </w:p>
    <w:p>
      <w:pPr>
        <w:jc w:val="both"/>
        <w:ind w:right="140" w:firstLine="432"/>
        <w:spacing w:after="0" w:line="258"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with licensing relationships and third party developers could adversely impact our business.</w:t>
      </w:r>
    </w:p>
    <w:p>
      <w:pPr>
        <w:spacing w:after="0" w:line="22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7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578"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8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60" w:lineRule="exact"/>
        <w:rPr>
          <w:sz w:val="20"/>
          <w:szCs w:val="20"/>
          <w:color w:val="auto"/>
        </w:rPr>
      </w:pPr>
    </w:p>
    <w:p>
      <w:pPr>
        <w:ind w:right="80" w:firstLine="392"/>
        <w:spacing w:after="0" w:line="254" w:lineRule="auto"/>
        <w:rPr>
          <w:sz w:val="20"/>
          <w:szCs w:val="20"/>
          <w:color w:val="auto"/>
        </w:rPr>
      </w:pPr>
      <w:r>
        <w:rPr>
          <w:rFonts w:ascii="Times New Roman" w:cs="Times New Roman" w:eastAsia="Times New Roman" w:hAnsi="Times New Roman"/>
          <w:sz w:val="18"/>
          <w:szCs w:val="18"/>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not more likely than not to be realized and we determined during our second quarter of fiscal 2016 that our U.S. deferred tax assets were no longer more likely than not to be realized.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60" w:lineRule="exact"/>
        <w:rPr>
          <w:sz w:val="20"/>
          <w:szCs w:val="20"/>
          <w:color w:val="auto"/>
        </w:rPr>
      </w:pPr>
    </w:p>
    <w:p>
      <w:pPr>
        <w:ind w:right="260" w:firstLine="392"/>
        <w:spacing w:after="0" w:line="258" w:lineRule="auto"/>
        <w:rPr>
          <w:sz w:val="20"/>
          <w:szCs w:val="20"/>
          <w:color w:val="auto"/>
        </w:rPr>
      </w:pPr>
      <w:r>
        <w:rPr>
          <w:rFonts w:ascii="Times New Roman" w:cs="Times New Roman" w:eastAsia="Times New Roman" w:hAnsi="Times New Roman"/>
          <w:sz w:val="18"/>
          <w:szCs w:val="18"/>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84" w:lineRule="exact"/>
        <w:rPr>
          <w:sz w:val="20"/>
          <w:szCs w:val="20"/>
          <w:color w:val="auto"/>
        </w:rPr>
      </w:pPr>
    </w:p>
    <w:p>
      <w:pPr>
        <w:ind w:right="160" w:firstLine="392"/>
        <w:spacing w:after="0" w:line="261" w:lineRule="auto"/>
        <w:rPr>
          <w:sz w:val="20"/>
          <w:szCs w:val="20"/>
          <w:color w:val="auto"/>
        </w:rPr>
      </w:pPr>
      <w:r>
        <w:rPr>
          <w:rFonts w:ascii="Times New Roman" w:cs="Times New Roman" w:eastAsia="Times New Roman" w:hAnsi="Times New Roman"/>
          <w:sz w:val="18"/>
          <w:szCs w:val="18"/>
          <w:color w:val="auto"/>
        </w:rPr>
        <w:t>We also have a $400.0 million revolving credit facility. As of July 31, 2016,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8" w:right="239" w:bottom="1440" w:gutter="0" w:footer="0" w:header="0"/>
        </w:sectPr>
      </w:pPr>
    </w:p>
    <w:bookmarkStart w:id="67" w:name="page68"/>
    <w:bookmarkEnd w:id="6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July 31, 2016.</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240" w:top="576" w:right="419" w:bottom="1440" w:gutter="0" w:footer="0" w:header="0"/>
        </w:sectPr>
      </w:pPr>
    </w:p>
    <w:bookmarkStart w:id="68" w:name="page69"/>
    <w:bookmarkEnd w:id="6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60" w:type="dxa"/>
            <w:vAlign w:val="bottom"/>
          </w:tcPr>
          <w:p>
            <w:pPr>
              <w:spacing w:after="0"/>
              <w:rPr>
                <w:sz w:val="17"/>
                <w:szCs w:val="17"/>
                <w:color w:val="auto"/>
              </w:rPr>
            </w:pPr>
          </w:p>
        </w:tc>
        <w:tc>
          <w:tcPr>
            <w:tcW w:w="818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Description</w:t>
            </w:r>
          </w:p>
        </w:tc>
      </w:tr>
      <w:tr>
        <w:trPr>
          <w:trHeight w:val="622"/>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Autodesk, Inc. 2012</w:t>
            </w: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 as amended and restated</w:t>
            </w:r>
          </w:p>
        </w:tc>
      </w:tr>
      <w:tr>
        <w:trPr>
          <w:trHeight w:val="82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Autodesk, Inc. 2012</w:t>
            </w: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 Form of Restricted Stock Unit Agreement, as amended and restated</w:t>
            </w:r>
          </w:p>
        </w:tc>
      </w:tr>
      <w:tr>
        <w:trPr>
          <w:trHeight w:val="62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3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Autodesk, Inc. 2012</w:t>
            </w: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 Form of Severance Restricted Stock Unit Agreement, as amended and restated</w:t>
            </w:r>
          </w:p>
        </w:tc>
      </w:tr>
      <w:tr>
        <w:trPr>
          <w:trHeight w:val="58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20" w:type="dxa"/>
            <w:vAlign w:val="bottom"/>
          </w:tcPr>
          <w:p>
            <w:pPr>
              <w:spacing w:after="0"/>
              <w:rPr>
                <w:sz w:val="24"/>
                <w:szCs w:val="24"/>
                <w:color w:val="auto"/>
              </w:rPr>
            </w:pP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Sub-Plan of the Autodesk, Inc. 1998 Employee Qualified Stock Purchase Plan, as amended and restated</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3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Autodesk, Inc. 1998</w:t>
            </w: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Qualified Stock Purchase Plan Form of Subscription Agreement, as amended and restated</w:t>
            </w:r>
          </w:p>
        </w:tc>
      </w:tr>
      <w:tr>
        <w:trPr>
          <w:trHeight w:val="59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20" w:type="dxa"/>
            <w:vAlign w:val="bottom"/>
          </w:tcPr>
          <w:p>
            <w:pPr>
              <w:spacing w:after="0"/>
              <w:rPr>
                <w:sz w:val="24"/>
                <w:szCs w:val="24"/>
                <w:color w:val="auto"/>
              </w:rPr>
            </w:pP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20" w:type="dxa"/>
            <w:vAlign w:val="bottom"/>
          </w:tcPr>
          <w:p>
            <w:pPr>
              <w:spacing w:after="0"/>
              <w:rPr>
                <w:sz w:val="24"/>
                <w:szCs w:val="24"/>
                <w:color w:val="auto"/>
              </w:rPr>
            </w:pP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of the Securities Exchange Act of 1934</w:t>
            </w:r>
          </w:p>
        </w:tc>
      </w:tr>
      <w:tr>
        <w:trPr>
          <w:trHeight w:val="384"/>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Certification of Chief Executive Officer and Chief Financial Officer pursuant to 18 U.S.C. Section 1350, as adopted pursuant to Section 906 of the</w:t>
            </w:r>
          </w:p>
        </w:tc>
      </w:tr>
      <w:tr>
        <w:trPr>
          <w:trHeight w:val="210"/>
        </w:trPr>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bl>
    <w:p>
      <w:pPr>
        <w:spacing w:after="0" w:line="370" w:lineRule="exact"/>
        <w:rPr>
          <w:sz w:val="20"/>
          <w:szCs w:val="20"/>
          <w:color w:val="auto"/>
        </w:rPr>
      </w:pPr>
    </w:p>
    <w:p>
      <w:pPr>
        <w:ind w:left="720" w:hanging="685"/>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275" w:lineRule="exact"/>
        <w:rPr>
          <w:sz w:val="20"/>
          <w:szCs w:val="20"/>
          <w:color w:val="auto"/>
        </w:rPr>
      </w:pPr>
    </w:p>
    <w:p>
      <w:pPr>
        <w:jc w:val="both"/>
        <w:ind w:left="720" w:hanging="685"/>
        <w:spacing w:after="0" w:line="281" w:lineRule="auto"/>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37" w:lineRule="exact"/>
        <w:rPr>
          <w:sz w:val="20"/>
          <w:szCs w:val="20"/>
          <w:color w:val="auto"/>
        </w:rPr>
      </w:pPr>
    </w:p>
    <w:p>
      <w:pPr>
        <w:ind w:left="720" w:hanging="685"/>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rFonts w:ascii="Times New Roman" w:cs="Times New Roman" w:eastAsia="Times New Roman" w:hAnsi="Times New Roman"/>
          <w:sz w:val="16"/>
          <w:szCs w:val="16"/>
          <w:color w:val="auto"/>
        </w:rPr>
      </w:pPr>
    </w:p>
    <w:p>
      <w:pPr>
        <w:spacing w:after="0" w:line="300"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68</w:t>
      </w:r>
    </w:p>
    <w:p>
      <w:pPr>
        <w:sectPr>
          <w:pgSz w:w="11900" w:h="16838" w:orient="portrait"/>
          <w:cols w:equalWidth="0" w:num="1">
            <w:col w:w="11280"/>
          </w:cols>
          <w:pgMar w:left="240" w:top="576" w:right="379" w:bottom="1440" w:gutter="0" w:footer="0" w:header="0"/>
        </w:sectPr>
      </w:pPr>
    </w:p>
    <w:bookmarkStart w:id="69" w:name="page70"/>
    <w:bookmarkEnd w:id="69"/>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30,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679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20"/>
          </w:cols>
          <w:pgMar w:left="240" w:top="576" w:right="9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AUTODESK, INC.</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2012 EMPLOYEE STOCK PLAN</w:t>
      </w:r>
    </w:p>
    <w:p>
      <w:pPr>
        <w:spacing w:after="0" w:line="2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(AS AMENDED AND RESTATED EFFECTIVE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JUNE 15, 2016)*</w:t>
      </w:r>
    </w:p>
    <w:p>
      <w:pPr>
        <w:spacing w:after="0" w:line="200" w:lineRule="exact"/>
        <w:rPr>
          <w:sz w:val="20"/>
          <w:szCs w:val="20"/>
          <w:color w:val="auto"/>
        </w:rPr>
      </w:pPr>
    </w:p>
    <w:p>
      <w:pPr>
        <w:spacing w:after="0" w:line="293" w:lineRule="exact"/>
        <w:rPr>
          <w:sz w:val="20"/>
          <w:szCs w:val="20"/>
          <w:color w:val="auto"/>
        </w:rPr>
      </w:pPr>
    </w:p>
    <w:p>
      <w:pPr>
        <w:jc w:val="both"/>
        <w:ind w:left="660" w:firstLine="645"/>
        <w:spacing w:after="0" w:line="255" w:lineRule="auto"/>
        <w:tabs>
          <w:tab w:leader="none" w:pos="2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2012 Employee Stock Plan are to attract and retain the best available personnel for positions of substantial responsibility, to provide additional incentive to Employees, and to promote the success of the Company’s business.</w:t>
      </w:r>
    </w:p>
    <w:p>
      <w:pPr>
        <w:ind w:left="1440" w:hanging="784"/>
        <w:spacing w:after="0"/>
        <w:tabs>
          <w:tab w:leader="none" w:pos="1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shall apply:</w:t>
      </w:r>
    </w:p>
    <w:p>
      <w:pPr>
        <w:spacing w:after="0" w:line="6" w:lineRule="exact"/>
        <w:rPr>
          <w:sz w:val="20"/>
          <w:szCs w:val="20"/>
          <w:color w:val="auto"/>
        </w:rPr>
      </w:pPr>
    </w:p>
    <w:p>
      <w:pPr>
        <w:ind w:firstLine="1305"/>
        <w:spacing w:after="0" w:line="255" w:lineRule="auto"/>
        <w:tabs>
          <w:tab w:leader="none" w:pos="21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shall be administering the Plan, in accordance with Section 4 of the Plan.</w:t>
      </w:r>
    </w:p>
    <w:p>
      <w:pPr>
        <w:jc w:val="both"/>
        <w:ind w:firstLine="1305"/>
        <w:spacing w:after="0" w:line="246" w:lineRule="auto"/>
        <w:tabs>
          <w:tab w:leader="none" w:pos="21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2" w:lineRule="exact"/>
        <w:rPr>
          <w:rFonts w:ascii="Times New Roman" w:cs="Times New Roman" w:eastAsia="Times New Roman" w:hAnsi="Times New Roman"/>
          <w:sz w:val="18"/>
          <w:szCs w:val="18"/>
          <w:color w:val="auto"/>
        </w:rPr>
      </w:pPr>
    </w:p>
    <w:p>
      <w:pPr>
        <w:ind w:firstLine="1305"/>
        <w:spacing w:after="0" w:line="249" w:lineRule="auto"/>
        <w:tabs>
          <w:tab w:leader="none" w:pos="21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Incentive Stock Options, Nonqualified Stock Options, Restricted Stock or Restricted Stock Units.</w:t>
      </w:r>
    </w:p>
    <w:p>
      <w:pPr>
        <w:spacing w:after="0" w:line="1" w:lineRule="exact"/>
        <w:rPr>
          <w:rFonts w:ascii="Times New Roman" w:cs="Times New Roman" w:eastAsia="Times New Roman" w:hAnsi="Times New Roman"/>
          <w:sz w:val="18"/>
          <w:szCs w:val="18"/>
          <w:color w:val="auto"/>
        </w:rPr>
      </w:pPr>
    </w:p>
    <w:p>
      <w:pPr>
        <w:ind w:right="520" w:firstLine="1305"/>
        <w:spacing w:after="0" w:line="249" w:lineRule="auto"/>
        <w:tabs>
          <w:tab w:leader="none" w:pos="21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conditions applicable to each Award granted under the Plan.</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5"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events, in one or a series of related</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transactions:</w:t>
      </w:r>
    </w:p>
    <w:p>
      <w:pPr>
        <w:spacing w:after="0" w:line="15" w:lineRule="exact"/>
        <w:rPr>
          <w:rFonts w:ascii="Times New Roman" w:cs="Times New Roman" w:eastAsia="Times New Roman" w:hAnsi="Times New Roman"/>
          <w:sz w:val="18"/>
          <w:szCs w:val="18"/>
          <w:color w:val="auto"/>
        </w:rPr>
      </w:pPr>
    </w:p>
    <w:p>
      <w:pPr>
        <w:jc w:val="both"/>
        <w:ind w:left="1960" w:firstLine="1938"/>
        <w:spacing w:after="0" w:line="247" w:lineRule="auto"/>
        <w:tabs>
          <w:tab w:leader="none" w:pos="472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w:t>
      </w:r>
    </w:p>
    <w:p>
      <w:pPr>
        <w:spacing w:after="0" w:line="2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Plan was originally adopted by the Board on November 7, 2011 and approved by the stockholders on January 6, 2012. The Plan was amended and restated via Board approval on November 15, 2013, and was approved by the stockholders on January 14, 2014, to become effective on January 14, 2014. The Plan was further amended and restated via Board approval on March 12, 2015, and was approved by the stockholders on June 10, 2015, to become effective on June 10, 2015. The Plan was further amended and restated via Board approval on June 15, 2016.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20"/>
          </w:cols>
          <w:pgMar w:left="240" w:top="1045" w:right="239" w:bottom="1440" w:gutter="0" w:footer="0" w:header="0"/>
        </w:sectPr>
      </w:pPr>
    </w:p>
    <w:bookmarkStart w:id="71" w:name="page72"/>
    <w:bookmarkEnd w:id="71"/>
    <w:p>
      <w:pPr>
        <w:jc w:val="both"/>
        <w:ind w:left="1960" w:firstLine="1938"/>
        <w:spacing w:after="0" w:line="249" w:lineRule="auto"/>
        <w:tabs>
          <w:tab w:leader="none" w:pos="477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2" w:lineRule="exact"/>
        <w:rPr>
          <w:rFonts w:ascii="Times New Roman" w:cs="Times New Roman" w:eastAsia="Times New Roman" w:hAnsi="Times New Roman"/>
          <w:sz w:val="18"/>
          <w:szCs w:val="18"/>
          <w:color w:val="auto"/>
        </w:rPr>
      </w:pPr>
    </w:p>
    <w:p>
      <w:pPr>
        <w:ind w:left="4820" w:hanging="922"/>
        <w:spacing w:after="0"/>
        <w:tabs>
          <w:tab w:leader="none" w:pos="48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sale or disposition by the Company of all or substantially all the</w:t>
      </w:r>
    </w:p>
    <w:p>
      <w:pPr>
        <w:spacing w:after="0" w:line="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Company’s assets; or</w:t>
      </w:r>
    </w:p>
    <w:p>
      <w:pPr>
        <w:spacing w:after="0" w:line="15" w:lineRule="exact"/>
        <w:rPr>
          <w:rFonts w:ascii="Times New Roman" w:cs="Times New Roman" w:eastAsia="Times New Roman" w:hAnsi="Times New Roman"/>
          <w:sz w:val="18"/>
          <w:szCs w:val="18"/>
          <w:color w:val="auto"/>
        </w:rPr>
      </w:pPr>
    </w:p>
    <w:p>
      <w:pPr>
        <w:jc w:val="both"/>
        <w:ind w:left="1960" w:firstLine="1938"/>
        <w:spacing w:after="0" w:line="249" w:lineRule="auto"/>
        <w:tabs>
          <w:tab w:leader="none" w:pos="48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the composition of the Board, as a result of which fewer than a majority of the Directors are Incumbent Directors. “Incumbent Directors” shall mean Directors who either</w:t>
      </w:r>
    </w:p>
    <w:p>
      <w:pPr>
        <w:spacing w:after="0" w:line="1" w:lineRule="exact"/>
        <w:rPr>
          <w:rFonts w:ascii="Times New Roman" w:cs="Times New Roman" w:eastAsia="Times New Roman" w:hAnsi="Times New Roman"/>
          <w:sz w:val="18"/>
          <w:szCs w:val="18"/>
          <w:color w:val="auto"/>
        </w:rPr>
      </w:pPr>
    </w:p>
    <w:p>
      <w:pPr>
        <w:jc w:val="both"/>
        <w:ind w:left="1960" w:hanging="7"/>
        <w:spacing w:after="0" w:line="255" w:lineRule="auto"/>
        <w:tabs>
          <w:tab w:leader="none" w:pos="234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Directors as of the 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w:t>
      </w:r>
    </w:p>
    <w:p>
      <w:pPr>
        <w:jc w:val="center"/>
        <w:ind w:right="80"/>
        <w:spacing w:after="0"/>
        <w:rPr>
          <w:sz w:val="20"/>
          <w:szCs w:val="20"/>
          <w:color w:val="auto"/>
        </w:rPr>
      </w:pPr>
      <w:r>
        <w:rPr>
          <w:rFonts w:ascii="Times New Roman" w:cs="Times New Roman" w:eastAsia="Times New Roman" w:hAnsi="Times New Roman"/>
          <w:sz w:val="22"/>
          <w:szCs w:val="22"/>
          <w:color w:val="auto"/>
        </w:rPr>
        <w:t>actual or threatened proxy contest relating to the election of directors of the Company.</w:t>
      </w:r>
    </w:p>
    <w:p>
      <w:pPr>
        <w:spacing w:after="0" w:line="4" w:lineRule="exact"/>
        <w:rPr>
          <w:sz w:val="20"/>
          <w:szCs w:val="20"/>
          <w:color w:val="auto"/>
        </w:rPr>
      </w:pPr>
    </w:p>
    <w:p>
      <w:pPr>
        <w:ind w:left="660" w:right="80" w:firstLine="1293"/>
        <w:spacing w:after="0" w:line="246" w:lineRule="auto"/>
        <w:tabs>
          <w:tab w:leader="none" w:pos="281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2"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appointed by the Board in accordance with Section 4 of the Plan.</w:t>
      </w:r>
    </w:p>
    <w:p>
      <w:pPr>
        <w:spacing w:after="0" w:line="5"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17"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Autodesk, Inc., a Delaware corporation, or any successor thereto.</w:t>
      </w:r>
    </w:p>
    <w:p>
      <w:pPr>
        <w:spacing w:after="0" w:line="17" w:lineRule="exact"/>
        <w:rPr>
          <w:rFonts w:ascii="Times New Roman" w:cs="Times New Roman" w:eastAsia="Times New Roman" w:hAnsi="Times New Roman"/>
          <w:sz w:val="18"/>
          <w:szCs w:val="18"/>
          <w:color w:val="auto"/>
        </w:rPr>
      </w:pPr>
    </w:p>
    <w:p>
      <w:pPr>
        <w:ind w:right="140" w:firstLine="1305"/>
        <w:spacing w:after="0" w:line="256" w:lineRule="auto"/>
        <w:tabs>
          <w:tab w:leader="none" w:pos="2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with respect to an Award, the date that the Award is granted and its exercise price is set (if applicable)</w:t>
      </w:r>
      <w:r>
        <w:rPr>
          <w:rFonts w:ascii="Arial" w:cs="Arial" w:eastAsia="Arial" w:hAnsi="Arial"/>
          <w:sz w:val="18"/>
          <w:szCs w:val="18"/>
          <w:color w:val="000080"/>
        </w:rPr>
        <w:t>,</w:t>
      </w:r>
      <w:r>
        <w:rPr>
          <w:rFonts w:ascii="Times New Roman" w:cs="Times New Roman" w:eastAsia="Times New Roman" w:hAnsi="Times New Roman"/>
          <w:sz w:val="22"/>
          <w:szCs w:val="22"/>
          <w:color w:val="auto"/>
        </w:rPr>
        <w:t xml:space="preserve"> consistent with Applicable Laws and applicable financial accounting rules.</w:t>
      </w:r>
    </w:p>
    <w:p>
      <w:pPr>
        <w:ind w:left="2120" w:hanging="815"/>
        <w:spacing w:after="0"/>
        <w:tabs>
          <w:tab w:leader="none" w:pos="2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17"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17" w:lineRule="exact"/>
        <w:rPr>
          <w:rFonts w:ascii="Times New Roman" w:cs="Times New Roman" w:eastAsia="Times New Roman" w:hAnsi="Times New Roman"/>
          <w:sz w:val="18"/>
          <w:szCs w:val="18"/>
          <w:color w:val="auto"/>
        </w:rPr>
      </w:pPr>
    </w:p>
    <w:p>
      <w:pPr>
        <w:ind w:right="800" w:firstLine="1305"/>
        <w:spacing w:after="0" w:line="255" w:lineRule="auto"/>
        <w:tabs>
          <w:tab w:leader="none" w:pos="2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Earnings Per Share</w:t>
      </w:r>
      <w:r>
        <w:rPr>
          <w:rFonts w:ascii="Times New Roman" w:cs="Times New Roman" w:eastAsia="Times New Roman" w:hAnsi="Times New Roman"/>
          <w:sz w:val="22"/>
          <w:szCs w:val="22"/>
          <w:color w:val="auto"/>
        </w:rPr>
        <w:t>” means, as to any Performance Period, fully diluted earnings per share of the Company, a business unit or an industry group, as defined by generally accepted accounting principles.</w:t>
      </w:r>
    </w:p>
    <w:p>
      <w:pPr>
        <w:ind w:left="2160" w:hanging="855"/>
        <w:spacing w:after="0"/>
        <w:tabs>
          <w:tab w:leader="none" w:pos="2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January 6, 2012.</w:t>
      </w:r>
    </w:p>
    <w:p>
      <w:pPr>
        <w:spacing w:after="0" w:line="5" w:lineRule="exact"/>
        <w:rPr>
          <w:rFonts w:ascii="Times New Roman" w:cs="Times New Roman" w:eastAsia="Times New Roman" w:hAnsi="Times New Roman"/>
          <w:sz w:val="18"/>
          <w:szCs w:val="18"/>
          <w:color w:val="auto"/>
        </w:rPr>
      </w:pPr>
    </w:p>
    <w:p>
      <w:pPr>
        <w:ind w:right="60" w:firstLine="1305"/>
        <w:spacing w:after="0" w:line="237" w:lineRule="auto"/>
        <w:tabs>
          <w:tab w:leader="none" w:pos="2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employed by the Company or any Parent or Subsidiary of the Company. An Employee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days, unless reemployment upon expiration of such leave is guaranteed by statute or contract. If reemployment upon expiration of a leave of absence approved by the Company is not so guaranteed, then three (3) months following the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such leave any Incentive Stock Option held by the Participant shall cease to be treated as an Incentive Stock Option and shall be treated for tax purposes as a Nonstatutory Stock Option.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20"/>
          </w:cols>
          <w:pgMar w:left="240" w:top="841" w:right="239" w:bottom="1440" w:gutter="0" w:footer="0" w:header="0"/>
        </w:sectPr>
      </w:pPr>
    </w:p>
    <w:bookmarkStart w:id="72" w:name="page73"/>
    <w:bookmarkEnd w:id="72"/>
    <w:p>
      <w:pPr>
        <w:jc w:val="both"/>
        <w:ind w:right="60" w:firstLine="1305"/>
        <w:spacing w:after="0" w:line="252" w:lineRule="auto"/>
        <w:tabs>
          <w:tab w:leader="none" w:pos="21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5" w:lineRule="exact"/>
        <w:rPr>
          <w:rFonts w:ascii="Times New Roman" w:cs="Times New Roman" w:eastAsia="Times New Roman" w:hAnsi="Times New Roman"/>
          <w:sz w:val="18"/>
          <w:szCs w:val="18"/>
          <w:color w:val="auto"/>
        </w:rPr>
      </w:pPr>
    </w:p>
    <w:p>
      <w:pPr>
        <w:jc w:val="both"/>
        <w:ind w:firstLine="2277"/>
        <w:spacing w:after="0" w:line="248" w:lineRule="auto"/>
        <w:tabs>
          <w:tab w:leader="none" w:pos="27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or</w:t>
      </w:r>
    </w:p>
    <w:p>
      <w:pPr>
        <w:spacing w:after="0" w:line="1" w:lineRule="exact"/>
        <w:rPr>
          <w:rFonts w:ascii="Times New Roman" w:cs="Times New Roman" w:eastAsia="Times New Roman" w:hAnsi="Times New Roman"/>
          <w:sz w:val="18"/>
          <w:szCs w:val="18"/>
          <w:color w:val="auto"/>
        </w:rPr>
      </w:pPr>
    </w:p>
    <w:p>
      <w:pPr>
        <w:ind w:right="20" w:firstLine="2277"/>
        <w:spacing w:after="0" w:line="261" w:lineRule="auto"/>
        <w:tabs>
          <w:tab w:leader="none" w:pos="281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absence of an established market for the Common Stock, the Fair Market Value shall be determined in good faith by the Administrator.</w:t>
      </w:r>
    </w:p>
    <w:p>
      <w:pPr>
        <w:spacing w:after="0" w:line="169" w:lineRule="exact"/>
        <w:rPr>
          <w:sz w:val="20"/>
          <w:szCs w:val="20"/>
          <w:color w:val="auto"/>
        </w:rPr>
      </w:pPr>
    </w:p>
    <w:p>
      <w:pPr>
        <w:ind w:firstLine="1305"/>
        <w:spacing w:after="0" w:line="261" w:lineRule="auto"/>
        <w:tabs>
          <w:tab w:leader="none" w:pos="18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Fair Market Value is to be determined as of a date which is not a date on which the Common Stock is traded, then the Fair Market Value on such date shall be the Fair Market Value on the next subsequent trading date.</w:t>
      </w:r>
    </w:p>
    <w:p>
      <w:pPr>
        <w:ind w:left="2800" w:hanging="847"/>
        <w:spacing w:after="0"/>
        <w:tabs>
          <w:tab w:leader="none" w:pos="2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 fiscal year of the Company.</w:t>
      </w:r>
    </w:p>
    <w:p>
      <w:pPr>
        <w:spacing w:after="0" w:line="6" w:lineRule="exact"/>
        <w:rPr>
          <w:sz w:val="20"/>
          <w:szCs w:val="20"/>
          <w:color w:val="auto"/>
        </w:rPr>
      </w:pPr>
    </w:p>
    <w:p>
      <w:pPr>
        <w:ind w:right="520" w:firstLine="1305"/>
        <w:spacing w:after="0" w:line="255" w:lineRule="auto"/>
        <w:tabs>
          <w:tab w:leader="none" w:pos="21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intended to qualify as an incentive stock option within the meaning of Section 422 of the Code and the regulations promulgated thereunder.</w:t>
      </w:r>
    </w:p>
    <w:p>
      <w:pPr>
        <w:ind w:right="780" w:firstLine="1305"/>
        <w:spacing w:after="0" w:line="249" w:lineRule="auto"/>
        <w:tabs>
          <w:tab w:leader="none" w:pos="21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means, as to any Performance Period, net income for the Performance Period of the Company, a business unit or an industry group, as defined by generally accepted accounting principles.</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Stock Option</w:t>
      </w:r>
      <w:r>
        <w:rPr>
          <w:rFonts w:ascii="Times New Roman" w:cs="Times New Roman" w:eastAsia="Times New Roman" w:hAnsi="Times New Roman"/>
          <w:sz w:val="22"/>
          <w:szCs w:val="22"/>
          <w:color w:val="auto"/>
        </w:rPr>
        <w:t>” means an Option not intended to qualify as an Incentive Stock Option.</w:t>
      </w:r>
    </w:p>
    <w:p>
      <w:pPr>
        <w:spacing w:after="0" w:line="5" w:lineRule="exact"/>
        <w:rPr>
          <w:rFonts w:ascii="Times New Roman" w:cs="Times New Roman" w:eastAsia="Times New Roman" w:hAnsi="Times New Roman"/>
          <w:sz w:val="18"/>
          <w:szCs w:val="18"/>
          <w:color w:val="auto"/>
        </w:rPr>
      </w:pPr>
    </w:p>
    <w:p>
      <w:pPr>
        <w:ind w:right="540" w:firstLine="1305"/>
        <w:spacing w:after="0" w:line="255" w:lineRule="auto"/>
        <w:tabs>
          <w:tab w:leader="none" w:pos="21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means a written or electronic notice evidencing certain terms and conditions of an individual Award. The Notice of Grant is part of the Award Agreement.</w:t>
      </w:r>
    </w:p>
    <w:p>
      <w:pPr>
        <w:ind w:left="2160" w:hanging="855"/>
        <w:spacing w:after="0"/>
        <w:tabs>
          <w:tab w:leader="none" w:pos="2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Margins</w:t>
      </w:r>
      <w:r>
        <w:rPr>
          <w:rFonts w:ascii="Times New Roman" w:cs="Times New Roman" w:eastAsia="Times New Roman" w:hAnsi="Times New Roman"/>
          <w:sz w:val="22"/>
          <w:szCs w:val="22"/>
          <w:color w:val="auto"/>
        </w:rPr>
        <w:t>” means the ratio of Operating Income to Revenue.</w:t>
      </w:r>
    </w:p>
    <w:p>
      <w:pPr>
        <w:spacing w:after="0" w:line="5" w:lineRule="exact"/>
        <w:rPr>
          <w:rFonts w:ascii="Times New Roman" w:cs="Times New Roman" w:eastAsia="Times New Roman" w:hAnsi="Times New Roman"/>
          <w:sz w:val="18"/>
          <w:szCs w:val="18"/>
          <w:color w:val="auto"/>
        </w:rPr>
      </w:pPr>
    </w:p>
    <w:p>
      <w:pPr>
        <w:ind w:right="100" w:firstLine="1305"/>
        <w:spacing w:after="0" w:line="255" w:lineRule="auto"/>
        <w:tabs>
          <w:tab w:leader="none" w:pos="21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Income</w:t>
      </w:r>
      <w:r>
        <w:rPr>
          <w:rFonts w:ascii="Times New Roman" w:cs="Times New Roman" w:eastAsia="Times New Roman" w:hAnsi="Times New Roman"/>
          <w:sz w:val="22"/>
          <w:szCs w:val="22"/>
          <w:color w:val="auto"/>
        </w:rPr>
        <w:t>” means income from operations of the Company, a business unit or an industry group, as defined by generally accepted accounting principles.</w:t>
      </w:r>
    </w:p>
    <w:p>
      <w:pPr>
        <w:ind w:left="2160" w:hanging="855"/>
        <w:spacing w:after="0"/>
        <w:tabs>
          <w:tab w:leader="none" w:pos="2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 Incentive Stock Option or Nonqualified Stock Option granted pursuant to the Plan.</w:t>
      </w:r>
    </w:p>
    <w:p>
      <w:pPr>
        <w:spacing w:after="0" w:line="6" w:lineRule="exact"/>
        <w:rPr>
          <w:sz w:val="20"/>
          <w:szCs w:val="20"/>
          <w:color w:val="auto"/>
        </w:rPr>
      </w:pPr>
    </w:p>
    <w:p>
      <w:pPr>
        <w:ind w:left="2240" w:hanging="935"/>
        <w:spacing w:after="0"/>
        <w:tabs>
          <w:tab w:leader="none" w:pos="2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a “parent corporation”, whether now or hereafter existing, as defined in Section 424(e)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5"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 granted under the Plan.</w:t>
      </w:r>
    </w:p>
    <w:p>
      <w:pPr>
        <w:spacing w:after="0" w:line="6" w:lineRule="exact"/>
        <w:rPr>
          <w:sz w:val="20"/>
          <w:szCs w:val="20"/>
          <w:color w:val="auto"/>
        </w:rPr>
      </w:pPr>
    </w:p>
    <w:p>
      <w:pPr>
        <w:ind w:right="20" w:firstLine="1297"/>
        <w:spacing w:after="0" w:line="262" w:lineRule="auto"/>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Goals</w:t>
      </w:r>
      <w:r>
        <w:rPr>
          <w:rFonts w:ascii="Times New Roman" w:cs="Times New Roman" w:eastAsia="Times New Roman" w:hAnsi="Times New Roman"/>
          <w:sz w:val="21"/>
          <w:szCs w:val="21"/>
          <w:color w:val="auto"/>
        </w:rPr>
        <w:t>” means the goal(s) (or combined goal(s)) determined by the Administrator (in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discretion) to be applicable to a Participant with respect to Awards of Restricted Stock or Restricted Stock Units. Such Performance Goals may be made applicable to Awards which are intended to comply with Section 162(m) of the Code, as well as Awards which not intended to comply with Section 162(m) of the Code. As determined by the Administrator, the Performance Goals applicable to an Award may provide for a targeted level or levels of achievement using one or more of the following measures: (a) Revenue, (b) Earnings Per Share, (c) Net Income, (d) Operating Margins, (e) Total Stockholder Return, (f) recurring revenue (including annualized),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20"/>
          </w:cols>
          <w:pgMar w:left="240" w:top="841" w:right="239" w:bottom="1440" w:gutter="0" w:footer="0" w:header="0"/>
        </w:sectPr>
      </w:pPr>
    </w:p>
    <w:bookmarkStart w:id="73" w:name="page74"/>
    <w:bookmarkEnd w:id="73"/>
    <w:p>
      <w:pPr>
        <w:ind w:firstLine="8"/>
        <w:spacing w:after="0" w:line="245"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bookings, (h) billings, (i) number of customers, (j) objective customer indicators, (k) expenses, (l) cost reduction goals, (m) economic value added, (n) cash flow (including operating cash flow or free cash flow), (o) cash flow per share, and (p) sales or revenue targets, including product or product family targets. The Performance Goals may differ from Participant to Participant and from Award to Award. Any criteria used may be measured, as applicable, (i) on Pro Forma numbers, (ii) in absolute terms, (iii) in relative terms (including, but not limited, the passage of time and/or against other companies or financial metrics), (iv) on a per share and/or share per capita basis, (v) against the performance of the Company as a whole or against particular segments, business units, industry groups or products of the Company and/or (vi) on a pre-tax or after-tax basis. Prior to the date on which such Performance Goals are determined, the Administrator shall stipulate whether any element(s) (for example, but not by way of limitation, the effect of mergers or acquisitions) shall be included in or excluded from the calculation of any Performance Goal with respect to any Participants (notwithstanding any other provision of the Plan, whether or not such determinations result in any Performance Goal being measured on a basis other than generally accepted accounting principles). Such stipulation may also be made after the date such Performance Goals are determined to the extent that such stipulation would not violate Section 162(m) of the Code.</w:t>
      </w:r>
    </w:p>
    <w:p>
      <w:pPr>
        <w:spacing w:after="0" w:line="2" w:lineRule="exact"/>
        <w:rPr>
          <w:rFonts w:ascii="Times New Roman" w:cs="Times New Roman" w:eastAsia="Times New Roman" w:hAnsi="Times New Roman"/>
          <w:sz w:val="22"/>
          <w:szCs w:val="22"/>
          <w:color w:val="auto"/>
        </w:rPr>
      </w:pPr>
    </w:p>
    <w:p>
      <w:pPr>
        <w:ind w:right="20" w:firstLine="1297"/>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(ad)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any Fiscal Year or such longer period as determined by the Administrator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its sole discretion.</w:t>
      </w:r>
    </w:p>
    <w:p>
      <w:pPr>
        <w:spacing w:after="0" w:line="1" w:lineRule="exact"/>
        <w:rPr>
          <w:rFonts w:ascii="Times New Roman" w:cs="Times New Roman" w:eastAsia="Times New Roman" w:hAnsi="Times New Roman"/>
          <w:sz w:val="22"/>
          <w:szCs w:val="22"/>
          <w:color w:val="auto"/>
        </w:rPr>
      </w:pPr>
    </w:p>
    <w:p>
      <w:pPr>
        <w:ind w:right="40" w:firstLine="1297"/>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 of Restriction</w:t>
      </w:r>
      <w:r>
        <w:rPr>
          <w:rFonts w:ascii="Times New Roman" w:cs="Times New Roman" w:eastAsia="Times New Roman" w:hAnsi="Times New Roman"/>
          <w:sz w:val="21"/>
          <w:szCs w:val="21"/>
          <w:color w:val="auto"/>
        </w:rPr>
        <w:t>” means the period during which the transfer of Shares of Restricted Stock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subject to restrictions and therefore, the Shares are subject to a substantial risk of forfeiture. As provided in Section 9, such restrictions may be based on the passage of time, the achievement of target levels of performance, or the occurrence of other events as determined by the Administrator, in its discretion.</w:t>
      </w:r>
    </w:p>
    <w:p>
      <w:pPr>
        <w:spacing w:after="0" w:line="1" w:lineRule="exact"/>
        <w:rPr>
          <w:rFonts w:ascii="Times New Roman" w:cs="Times New Roman" w:eastAsia="Times New Roman" w:hAnsi="Times New Roman"/>
          <w:sz w:val="22"/>
          <w:szCs w:val="22"/>
          <w:color w:val="auto"/>
        </w:rPr>
      </w:pPr>
    </w:p>
    <w:p>
      <w:pPr>
        <w:ind w:right="360" w:firstLine="1297"/>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(af)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2012 Employee Stock Plan, as set forth in this instrument and as hereafter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from time to time.</w:t>
      </w:r>
    </w:p>
    <w:p>
      <w:pPr>
        <w:spacing w:after="0" w:line="1" w:lineRule="exact"/>
        <w:rPr>
          <w:rFonts w:ascii="Times New Roman" w:cs="Times New Roman" w:eastAsia="Times New Roman" w:hAnsi="Times New Roman"/>
          <w:sz w:val="22"/>
          <w:szCs w:val="22"/>
          <w:color w:val="auto"/>
        </w:rPr>
      </w:pPr>
    </w:p>
    <w:p>
      <w:pPr>
        <w:ind w:right="220" w:firstLine="1297"/>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(ag)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means calculation of a Performance Goal in a manner that excludes certain non-recurring,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unusual or non-cash expenses or credits, such as restructuring expenses, extraordinary tax events, expenses or credits related to equity compensation or the like, acquisition related expenses and charges, extraordinary items, income or loss from discontinued operations, and/or gains or losses from early extinguishment of debt instead of conforming to generally accepted accounting principles.</w:t>
      </w:r>
    </w:p>
    <w:p>
      <w:pPr>
        <w:spacing w:after="0" w:line="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(ah)</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means an Award granted to a Participant pursuant to Section 9.</w:t>
      </w:r>
    </w:p>
    <w:p>
      <w:pPr>
        <w:spacing w:after="0" w:line="1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means an Award granted to a Participant pursuant to Section 10.</w:t>
      </w:r>
    </w:p>
    <w:p>
      <w:pPr>
        <w:spacing w:after="0" w:line="28" w:lineRule="exact"/>
        <w:rPr>
          <w:rFonts w:ascii="Times New Roman" w:cs="Times New Roman" w:eastAsia="Times New Roman" w:hAnsi="Times New Roman"/>
          <w:sz w:val="22"/>
          <w:szCs w:val="22"/>
          <w:color w:val="auto"/>
        </w:rPr>
      </w:pPr>
    </w:p>
    <w:p>
      <w:pPr>
        <w:ind w:firstLine="1297"/>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(aj)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Revenue</w:t>
      </w:r>
      <w:r>
        <w:rPr>
          <w:rFonts w:ascii="Times New Roman" w:cs="Times New Roman" w:eastAsia="Times New Roman" w:hAnsi="Times New Roman"/>
          <w:sz w:val="21"/>
          <w:szCs w:val="21"/>
          <w:color w:val="auto"/>
        </w:rPr>
        <w:t>” means net sales for the Performance Period of the Company, a business unit or an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group, as defined by generally accepted accounting principles.</w:t>
      </w:r>
    </w:p>
    <w:p>
      <w:pPr>
        <w:ind w:right="260" w:firstLine="1297"/>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(ak)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16b-3</w:t>
      </w:r>
      <w:r>
        <w:rPr>
          <w:rFonts w:ascii="Times New Roman" w:cs="Times New Roman" w:eastAsia="Times New Roman" w:hAnsi="Times New Roman"/>
          <w:sz w:val="21"/>
          <w:szCs w:val="21"/>
          <w:color w:val="auto"/>
        </w:rPr>
        <w:t>” means Rule 16b-3 of the Exchange Act or any successor to Rule 16b-3, as in effect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discretion is being exercised with respect to the Plan.</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means Section 16(b) of the Securities Exchange Act of 1934, as amended.</w:t>
      </w:r>
    </w:p>
    <w:p>
      <w:pPr>
        <w:spacing w:after="0" w:line="1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means a share of the Common Stock, as adjusted in accordance with Section 13 of the Plan.</w:t>
      </w:r>
    </w:p>
    <w:p>
      <w:pPr>
        <w:spacing w:after="0" w:line="28" w:lineRule="exact"/>
        <w:rPr>
          <w:rFonts w:ascii="Times New Roman" w:cs="Times New Roman" w:eastAsia="Times New Roman" w:hAnsi="Times New Roman"/>
          <w:sz w:val="22"/>
          <w:szCs w:val="22"/>
          <w:color w:val="auto"/>
        </w:rPr>
      </w:pPr>
    </w:p>
    <w:p>
      <w:pPr>
        <w:ind w:right="160" w:firstLine="1297"/>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 “subsidiary corporation”, whether now or hereafter existing, as defined in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424(f) of the Code.</w:t>
      </w:r>
    </w:p>
    <w:p>
      <w:pPr>
        <w:ind w:right="720" w:firstLine="1297"/>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(ao)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Stockholder Return</w:t>
      </w:r>
      <w:r>
        <w:rPr>
          <w:rFonts w:ascii="Times New Roman" w:cs="Times New Roman" w:eastAsia="Times New Roman" w:hAnsi="Times New Roman"/>
          <w:sz w:val="21"/>
          <w:szCs w:val="21"/>
          <w:color w:val="auto"/>
        </w:rPr>
        <w:t>” means the total return (change in share price plus reinvestment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dividends) of a share of the Company’s common stock.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00"/>
          </w:cols>
          <w:pgMar w:left="240" w:top="841" w:right="259" w:bottom="1440" w:gutter="0" w:footer="0" w:header="0"/>
        </w:sectPr>
      </w:pPr>
    </w:p>
    <w:bookmarkStart w:id="74" w:name="page75"/>
    <w:bookmarkEnd w:id="74"/>
    <w:p>
      <w:pPr>
        <w:ind w:left="1420" w:hanging="784"/>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9" w:lineRule="exact"/>
        <w:rPr>
          <w:rFonts w:ascii="Times New Roman" w:cs="Times New Roman" w:eastAsia="Times New Roman" w:hAnsi="Times New Roman"/>
          <w:sz w:val="18"/>
          <w:szCs w:val="18"/>
          <w:color w:val="auto"/>
        </w:rPr>
      </w:pPr>
    </w:p>
    <w:p>
      <w:pPr>
        <w:ind w:left="-20" w:right="40" w:firstLine="1305"/>
        <w:spacing w:after="0" w:line="246" w:lineRule="auto"/>
        <w:tabs>
          <w:tab w:leader="none" w:pos="21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the provisions of Section 13 of the Plan, the maximum aggregate number of Shares which may be issued under the Plan is equal to 30,550,000 Shares plus that number of Shares remaining for issuance under the 2008 Employee Stock Plan as of January 6, 2012, not to exceed 8,500,000 Shares, plus that number of Shares that are subject to equity awards granted under the 2008 Employee Stock Plan, the 2008 Employee Stock Plan (as amended and restated), the 2006 Employee Stock Plan and the 1996 Stock Plan (collectively, the “Prior Plans”) which are outstanding as of January 6, 2012, not to exceed 6,000,000 Shares, and thereafter terminate, expire, lapse or are forfeited for any reason and which following the termination, expiration, lapse or forfeiture of such awards do not again become available for issuance under the Prior Plans, with the maximum aggregate total of Shares which may be issued under the Plan not to exceed 45,050,000 Shares.</w:t>
      </w:r>
    </w:p>
    <w:p>
      <w:pPr>
        <w:spacing w:after="0" w:line="3" w:lineRule="exact"/>
        <w:rPr>
          <w:rFonts w:ascii="Times New Roman" w:cs="Times New Roman" w:eastAsia="Times New Roman" w:hAnsi="Times New Roman"/>
          <w:sz w:val="18"/>
          <w:szCs w:val="18"/>
          <w:color w:val="auto"/>
        </w:rPr>
      </w:pPr>
    </w:p>
    <w:p>
      <w:pPr>
        <w:ind w:left="-20" w:right="20" w:firstLine="1305"/>
        <w:spacing w:after="0" w:line="244" w:lineRule="auto"/>
        <w:tabs>
          <w:tab w:leader="none" w:pos="21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Shares may be authorized, but unissued, or reacquired Common Stock. Subject to Section 3(c) hereof,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tax and exercise price of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provided in Section 13, the maximum number of Shares that may be issued upon the exercise of Incentive Stock Options shall equal the aggregate Share number stated in Section 3(a), plus, to the extent allowable under Section 422 of the Code, any Shares that become available for issuance under the Plan under this Section 3(b).</w:t>
      </w:r>
    </w:p>
    <w:p>
      <w:pPr>
        <w:spacing w:after="0" w:line="198" w:lineRule="exact"/>
        <w:rPr>
          <w:sz w:val="20"/>
          <w:szCs w:val="20"/>
          <w:color w:val="auto"/>
        </w:rPr>
      </w:pPr>
    </w:p>
    <w:p>
      <w:pPr>
        <w:ind w:left="-20" w:right="140" w:firstLine="656"/>
        <w:spacing w:after="0" w:line="249" w:lineRule="auto"/>
        <w:tabs>
          <w:tab w:leader="none" w:pos="10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each Share subject to an Incentive Stock Option or Nonqualified Stock Option shall be counted against the Shares authorized for issuance under the Plan as one Share. Each Share subject to an Award of Restricted Stock or Restricted Stock Units shall be counted against the Shares authorized for issuance under the Plan as 1.79 Shares. </w:t>
      </w:r>
      <w:r>
        <w:rPr>
          <w:rFonts w:ascii="Times New Roman" w:cs="Times New Roman" w:eastAsia="Times New Roman" w:hAnsi="Times New Roman"/>
          <w:sz w:val="22"/>
          <w:szCs w:val="22"/>
          <w:b w:val="1"/>
          <w:bCs w:val="1"/>
          <w:color w:val="auto"/>
        </w:rPr>
        <w:t>Each Share which is subject to an Award of Restricted Stock or Restricted Stock Units granted under the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which is forfeited to or repurchased by the Company pursuant to Section 3(b) hereof shall count as having returned 1.79 Shares to the total of number of Shares which are available for future grant or sale under the Plan.</w:t>
      </w:r>
    </w:p>
    <w:p>
      <w:pPr>
        <w:spacing w:after="0" w:line="2" w:lineRule="exact"/>
        <w:rPr>
          <w:rFonts w:ascii="Times New Roman" w:cs="Times New Roman" w:eastAsia="Times New Roman" w:hAnsi="Times New Roman"/>
          <w:sz w:val="22"/>
          <w:szCs w:val="22"/>
          <w:color w:val="auto"/>
        </w:rPr>
      </w:pPr>
    </w:p>
    <w:p>
      <w:pPr>
        <w:ind w:left="2060" w:hanging="775"/>
        <w:spacing w:after="0"/>
        <w:tabs>
          <w:tab w:leader="none" w:pos="20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6" w:lineRule="exact"/>
        <w:rPr>
          <w:sz w:val="20"/>
          <w:szCs w:val="20"/>
          <w:color w:val="auto"/>
        </w:rPr>
      </w:pPr>
    </w:p>
    <w:p>
      <w:pPr>
        <w:ind w:left="2140" w:hanging="855"/>
        <w:spacing w:after="0"/>
        <w:tabs>
          <w:tab w:leader="none" w:pos="2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17" w:lineRule="exact"/>
        <w:rPr>
          <w:rFonts w:ascii="Times New Roman" w:cs="Times New Roman" w:eastAsia="Times New Roman" w:hAnsi="Times New Roman"/>
          <w:sz w:val="18"/>
          <w:szCs w:val="18"/>
          <w:color w:val="auto"/>
        </w:rPr>
      </w:pPr>
    </w:p>
    <w:p>
      <w:pPr>
        <w:ind w:left="-20" w:firstLine="2277"/>
        <w:spacing w:after="0" w:line="255" w:lineRule="auto"/>
        <w:tabs>
          <w:tab w:leader="none" w:pos="27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The Plan may be administered by the Board or different Committees with respect to different groups of Employees.</w:t>
      </w:r>
    </w:p>
    <w:p>
      <w:pPr>
        <w:jc w:val="both"/>
        <w:ind w:left="-20" w:right="20" w:firstLine="2277"/>
        <w:spacing w:after="0" w:line="252" w:lineRule="auto"/>
        <w:tabs>
          <w:tab w:leader="none" w:pos="27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Section 162(m)</w:t>
      </w:r>
      <w:r>
        <w:rPr>
          <w:rFonts w:ascii="Times New Roman" w:cs="Times New Roman" w:eastAsia="Times New Roman" w:hAnsi="Times New Roman"/>
          <w:sz w:val="22"/>
          <w:szCs w:val="22"/>
          <w:color w:val="auto"/>
        </w:rPr>
        <w:t>. To the extent that the Administrator determines it to be desirable to qualify Awards granted hereunder as “performance-based compensation” within the meaning of Section 162(m) of the Code, the Plan shall be administered by a Committee of two or more “outside directors” within the meaning of Section 162(m) of the Code.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00"/>
          </w:cols>
          <w:pgMar w:left="260" w:top="841" w:right="239" w:bottom="1440" w:gutter="0" w:footer="0" w:header="0"/>
        </w:sectPr>
      </w:pPr>
    </w:p>
    <w:bookmarkStart w:id="75" w:name="page76"/>
    <w:bookmarkEnd w:id="75"/>
    <w:p>
      <w:pPr>
        <w:ind w:right="20" w:firstLine="2277"/>
        <w:spacing w:after="0" w:line="261" w:lineRule="auto"/>
        <w:tabs>
          <w:tab w:leader="none" w:pos="286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shall be structured to satisfy the requirements for exemption under Rule 16b-3.</w:t>
      </w:r>
    </w:p>
    <w:p>
      <w:pPr>
        <w:ind w:firstLine="2277"/>
        <w:spacing w:after="0" w:line="249" w:lineRule="auto"/>
        <w:tabs>
          <w:tab w:leader="none" w:pos="28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shall be administered by (A) the Board or (B) a Committee, which committee shall be constituted to satisfy Applicable Laws.</w:t>
      </w:r>
    </w:p>
    <w:p>
      <w:pPr>
        <w:spacing w:after="0" w:line="1" w:lineRule="exact"/>
        <w:rPr>
          <w:rFonts w:ascii="Times New Roman" w:cs="Times New Roman" w:eastAsia="Times New Roman" w:hAnsi="Times New Roman"/>
          <w:sz w:val="18"/>
          <w:szCs w:val="18"/>
          <w:color w:val="auto"/>
        </w:rPr>
      </w:pPr>
    </w:p>
    <w:p>
      <w:pPr>
        <w:ind w:firstLine="1305"/>
        <w:spacing w:after="0" w:line="261" w:lineRule="auto"/>
        <w:tabs>
          <w:tab w:leader="none" w:pos="215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Powers of the Administrator</w:t>
      </w:r>
      <w:r>
        <w:rPr>
          <w:rFonts w:ascii="Times New Roman" w:cs="Times New Roman" w:eastAsia="Times New Roman" w:hAnsi="Times New Roman"/>
          <w:sz w:val="21"/>
          <w:szCs w:val="21"/>
          <w:color w:val="auto"/>
        </w:rPr>
        <w:t>. Subject to the provisions of the Plan, and in the case of a Committee, subject to the specific duties delegated by the Board to such Committee, the Administrator shall have the authority, in its discretion:</w:t>
      </w:r>
    </w:p>
    <w:p>
      <w:pPr>
        <w:spacing w:after="0" w:line="1" w:lineRule="exact"/>
        <w:rPr>
          <w:rFonts w:ascii="Times New Roman" w:cs="Times New Roman" w:eastAsia="Times New Roman" w:hAnsi="Times New Roman"/>
          <w:sz w:val="17"/>
          <w:szCs w:val="17"/>
          <w:color w:val="auto"/>
        </w:rPr>
      </w:pPr>
    </w:p>
    <w:p>
      <w:pPr>
        <w:ind w:left="2780" w:hanging="503"/>
        <w:spacing w:after="0"/>
        <w:tabs>
          <w:tab w:leader="none" w:pos="27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determine the Fair Market Value of the Common Stock, in accordance with Section 2(r) of the</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Plan;</w:t>
      </w:r>
    </w:p>
    <w:p>
      <w:pPr>
        <w:spacing w:after="0" w:line="15" w:lineRule="exact"/>
        <w:rPr>
          <w:rFonts w:ascii="Times New Roman" w:cs="Times New Roman" w:eastAsia="Times New Roman" w:hAnsi="Times New Roman"/>
          <w:sz w:val="18"/>
          <w:szCs w:val="18"/>
          <w:color w:val="auto"/>
        </w:rPr>
      </w:pPr>
    </w:p>
    <w:p>
      <w:pPr>
        <w:ind w:left="2820" w:hanging="543"/>
        <w:spacing w:after="0"/>
        <w:tabs>
          <w:tab w:leader="none" w:pos="28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select the Employees to whom Awards may be granted hereunder;</w:t>
      </w:r>
    </w:p>
    <w:p>
      <w:pPr>
        <w:spacing w:after="0" w:line="5" w:lineRule="exact"/>
        <w:rPr>
          <w:rFonts w:ascii="Times New Roman" w:cs="Times New Roman" w:eastAsia="Times New Roman" w:hAnsi="Times New Roman"/>
          <w:sz w:val="18"/>
          <w:szCs w:val="18"/>
          <w:color w:val="auto"/>
        </w:rPr>
      </w:pPr>
    </w:p>
    <w:p>
      <w:pPr>
        <w:ind w:left="2880" w:hanging="603"/>
        <w:spacing w:after="0"/>
        <w:tabs>
          <w:tab w:leader="none" w:pos="2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determine whether and to what extent Awards are granted hereunder;</w:t>
      </w:r>
    </w:p>
    <w:p>
      <w:pPr>
        <w:spacing w:after="0" w:line="17" w:lineRule="exact"/>
        <w:rPr>
          <w:rFonts w:ascii="Times New Roman" w:cs="Times New Roman" w:eastAsia="Times New Roman" w:hAnsi="Times New Roman"/>
          <w:sz w:val="18"/>
          <w:szCs w:val="18"/>
          <w:color w:val="auto"/>
        </w:rPr>
      </w:pPr>
    </w:p>
    <w:p>
      <w:pPr>
        <w:ind w:left="2860" w:hanging="583"/>
        <w:spacing w:after="0"/>
        <w:tabs>
          <w:tab w:leader="none" w:pos="2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17" w:lineRule="exact"/>
        <w:rPr>
          <w:rFonts w:ascii="Times New Roman" w:cs="Times New Roman" w:eastAsia="Times New Roman" w:hAnsi="Times New Roman"/>
          <w:sz w:val="18"/>
          <w:szCs w:val="18"/>
          <w:color w:val="auto"/>
        </w:rPr>
      </w:pPr>
    </w:p>
    <w:p>
      <w:pPr>
        <w:ind w:left="2820" w:hanging="543"/>
        <w:spacing w:after="0"/>
        <w:tabs>
          <w:tab w:leader="none" w:pos="28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approve forms of agreement for use under the Plan;</w:t>
      </w:r>
    </w:p>
    <w:p>
      <w:pPr>
        <w:spacing w:after="0" w:line="17" w:lineRule="exact"/>
        <w:rPr>
          <w:rFonts w:ascii="Times New Roman" w:cs="Times New Roman" w:eastAsia="Times New Roman" w:hAnsi="Times New Roman"/>
          <w:sz w:val="18"/>
          <w:szCs w:val="18"/>
          <w:color w:val="auto"/>
        </w:rPr>
      </w:pPr>
    </w:p>
    <w:p>
      <w:pPr>
        <w:jc w:val="both"/>
        <w:ind w:firstLine="2277"/>
        <w:spacing w:after="0" w:line="249" w:lineRule="auto"/>
        <w:tabs>
          <w:tab w:leader="none" w:pos="285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 w:lineRule="exact"/>
        <w:rPr>
          <w:rFonts w:ascii="Times New Roman" w:cs="Times New Roman" w:eastAsia="Times New Roman" w:hAnsi="Times New Roman"/>
          <w:sz w:val="18"/>
          <w:szCs w:val="18"/>
          <w:color w:val="auto"/>
        </w:rPr>
      </w:pPr>
    </w:p>
    <w:p>
      <w:pPr>
        <w:ind w:left="2920" w:hanging="643"/>
        <w:spacing w:after="0"/>
        <w:tabs>
          <w:tab w:leader="none" w:pos="29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construe and interpret the terms of the Plan and Awards granted hereunder;</w:t>
      </w:r>
    </w:p>
    <w:p>
      <w:pPr>
        <w:spacing w:after="0" w:line="5" w:lineRule="exact"/>
        <w:rPr>
          <w:rFonts w:ascii="Times New Roman" w:cs="Times New Roman" w:eastAsia="Times New Roman" w:hAnsi="Times New Roman"/>
          <w:sz w:val="18"/>
          <w:szCs w:val="18"/>
          <w:color w:val="auto"/>
        </w:rPr>
      </w:pPr>
    </w:p>
    <w:p>
      <w:pPr>
        <w:ind w:firstLine="2277"/>
        <w:spacing w:after="0" w:line="267" w:lineRule="auto"/>
        <w:tabs>
          <w:tab w:leader="none" w:pos="360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to prescribe, amend and rescind rules and regulations relating to the Plan, including rules and regulations relating to sub-plans established for the purpose of qualifying for preferred tax treatment under foreign tax laws;</w:t>
      </w:r>
    </w:p>
    <w:p>
      <w:pPr>
        <w:jc w:val="both"/>
        <w:ind w:firstLine="2277"/>
        <w:spacing w:after="0" w:line="247" w:lineRule="auto"/>
        <w:tabs>
          <w:tab w:leader="none" w:pos="285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2" w:lineRule="exact"/>
        <w:rPr>
          <w:rFonts w:ascii="Times New Roman" w:cs="Times New Roman" w:eastAsia="Times New Roman" w:hAnsi="Times New Roman"/>
          <w:sz w:val="18"/>
          <w:szCs w:val="18"/>
          <w:color w:val="auto"/>
        </w:rPr>
      </w:pPr>
    </w:p>
    <w:p>
      <w:pPr>
        <w:ind w:firstLine="2277"/>
        <w:spacing w:after="0" w:line="261" w:lineRule="auto"/>
        <w:tabs>
          <w:tab w:leader="none" w:pos="280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69" w:lineRule="exact"/>
        <w:rPr>
          <w:sz w:val="20"/>
          <w:szCs w:val="20"/>
          <w:color w:val="auto"/>
        </w:rPr>
      </w:pPr>
    </w:p>
    <w:p>
      <w:pPr>
        <w:ind w:right="660" w:firstLine="1305"/>
        <w:spacing w:after="0" w:line="284" w:lineRule="auto"/>
        <w:tabs>
          <w:tab w:leader="none" w:pos="178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such manner as may be determined by the Administrator in accordance with the terms of the Plan;</w:t>
      </w:r>
    </w:p>
    <w:p>
      <w:pPr>
        <w:spacing w:after="0" w:line="144" w:lineRule="exact"/>
        <w:rPr>
          <w:rFonts w:ascii="Times New Roman" w:cs="Times New Roman" w:eastAsia="Times New Roman" w:hAnsi="Times New Roman"/>
          <w:sz w:val="22"/>
          <w:szCs w:val="22"/>
          <w:color w:val="auto"/>
        </w:rPr>
      </w:pPr>
    </w:p>
    <w:p>
      <w:pPr>
        <w:ind w:left="1860" w:hanging="555"/>
        <w:spacing w:after="0"/>
        <w:tabs>
          <w:tab w:leader="none" w:pos="18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restrictions applicable to Awards; and</w:t>
      </w:r>
    </w:p>
    <w:p>
      <w:pPr>
        <w:spacing w:after="0" w:line="233" w:lineRule="exact"/>
        <w:rPr>
          <w:rFonts w:ascii="Times New Roman" w:cs="Times New Roman" w:eastAsia="Times New Roman" w:hAnsi="Times New Roman"/>
          <w:sz w:val="22"/>
          <w:szCs w:val="22"/>
          <w:color w:val="auto"/>
        </w:rPr>
      </w:pPr>
    </w:p>
    <w:p>
      <w:pPr>
        <w:ind w:left="1920" w:hanging="615"/>
        <w:spacing w:after="0"/>
        <w:tabs>
          <w:tab w:leader="none" w:pos="19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9" w:lineRule="exact"/>
        <w:rPr>
          <w:rFonts w:ascii="Times New Roman" w:cs="Times New Roman" w:eastAsia="Times New Roman" w:hAnsi="Times New Roman"/>
          <w:sz w:val="22"/>
          <w:szCs w:val="22"/>
          <w:color w:val="auto"/>
        </w:rPr>
      </w:pPr>
    </w:p>
    <w:p>
      <w:pPr>
        <w:jc w:val="both"/>
        <w:ind w:left="660" w:firstLine="1293"/>
        <w:spacing w:after="0" w:line="251" w:lineRule="auto"/>
        <w:tabs>
          <w:tab w:leader="none" w:pos="280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shall be final and binding on all Participants and any other holders of Awards and shall be given the maximum deference permitted by law.</w:t>
      </w:r>
    </w:p>
    <w:p>
      <w:pPr>
        <w:spacing w:after="0" w:line="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Awards may be granted only to Employees.</w:t>
      </w:r>
    </w:p>
    <w:p>
      <w:pPr>
        <w:spacing w:after="0" w:line="5" w:lineRule="exact"/>
        <w:rPr>
          <w:rFonts w:ascii="Times New Roman" w:cs="Times New Roman" w:eastAsia="Times New Roman" w:hAnsi="Times New Roman"/>
          <w:sz w:val="18"/>
          <w:szCs w:val="18"/>
          <w:color w:val="auto"/>
        </w:rPr>
      </w:pPr>
    </w:p>
    <w:p>
      <w:pPr>
        <w:jc w:val="both"/>
        <w:ind w:firstLine="656"/>
        <w:spacing w:after="0" w:line="253" w:lineRule="auto"/>
        <w:tabs>
          <w:tab w:leader="none" w:pos="14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Employment Rights</w:t>
      </w:r>
      <w:r>
        <w:rPr>
          <w:rFonts w:ascii="Times New Roman" w:cs="Times New Roman" w:eastAsia="Times New Roman" w:hAnsi="Times New Roman"/>
          <w:sz w:val="22"/>
          <w:szCs w:val="22"/>
          <w:color w:val="auto"/>
        </w:rPr>
        <w:t>. Neither the Plan nor any Award shall confer upon a Participant any right with respect to continuing the Participant’s employment with the Company or its Subsidiaries, nor shall they interfere in any way with the Participant’s right or the Company’s or Subsidiary’s right, as the case may be, to terminate such employment at any time, with or without cause or notice.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20"/>
          </w:cols>
          <w:pgMar w:left="240" w:top="841" w:right="239" w:bottom="1440" w:gutter="0" w:footer="0" w:header="0"/>
        </w:sectPr>
      </w:pPr>
    </w:p>
    <w:bookmarkStart w:id="76" w:name="page77"/>
    <w:bookmarkEnd w:id="76"/>
    <w:p>
      <w:pPr>
        <w:ind w:firstLine="656"/>
        <w:spacing w:after="0" w:line="261" w:lineRule="auto"/>
        <w:tabs>
          <w:tab w:leader="none" w:pos="14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shall become effective on January 6, 2012 and continue in effect, unless terminated earlier, until June 30, 2022.</w:t>
      </w:r>
    </w:p>
    <w:p>
      <w:pPr>
        <w:ind w:left="1440" w:hanging="784"/>
        <w:spacing w:after="0"/>
        <w:tabs>
          <w:tab w:leader="none" w:pos="1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jc w:val="both"/>
        <w:ind w:firstLine="1305"/>
        <w:spacing w:after="0" w:line="247" w:lineRule="auto"/>
        <w:tabs>
          <w:tab w:leader="none" w:pos="21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xml:space="preserve">. Subject to the terms and provisions of the Plan, Options may be granted to Employees at any time and from time to time as determined by the Administrator in its sole discretion. The Administrator, in its sole discretion, shall determine the number of Shares subject to each Option, provided that during any Fiscal Year, no Participant shall be granted Options covering more than a total of 1,500,000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limit shall be 3,000,000 Shares in the Participant’s first Fiscal Year of Company service. The Administrator may grant Incentive Stock Options, Nonstatutory Stock Options, or a combination thereof.</w:t>
      </w:r>
    </w:p>
    <w:p>
      <w:pPr>
        <w:spacing w:after="0" w:line="2" w:lineRule="exact"/>
        <w:rPr>
          <w:rFonts w:ascii="Times New Roman" w:cs="Times New Roman" w:eastAsia="Times New Roman" w:hAnsi="Times New Roman"/>
          <w:sz w:val="18"/>
          <w:szCs w:val="18"/>
          <w:color w:val="auto"/>
        </w:rPr>
      </w:pPr>
    </w:p>
    <w:p>
      <w:pPr>
        <w:jc w:val="both"/>
        <w:ind w:firstLine="1305"/>
        <w:spacing w:after="0" w:line="256" w:lineRule="auto"/>
        <w:tabs>
          <w:tab w:leader="none" w:pos="2155"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The term of each Option shall be stated in the Notice of Grant;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term shall be no longer than ten (10) years from the Date of Grant. Moreover, in the case of an Incentive Stock Option granted to a Participant who, at the time the Incentive Stock Option is granted, owns stock representing more than ten percent (10%) of the voting power of all classes of stock of the Company or any Parent or Subsidiary, the term of the Incentive Stock Option shall be no longer than five (5) years from the Date of Grant. Subject to the five (5) and ten (10) year limits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6" w:lineRule="exact"/>
        <w:rPr>
          <w:rFonts w:ascii="Times New Roman" w:cs="Times New Roman" w:eastAsia="Times New Roman" w:hAnsi="Times New Roman"/>
          <w:sz w:val="17"/>
          <w:szCs w:val="17"/>
          <w:color w:val="auto"/>
        </w:rPr>
      </w:pPr>
    </w:p>
    <w:p>
      <w:pPr>
        <w:jc w:val="both"/>
        <w:ind w:firstLine="1305"/>
        <w:spacing w:after="0" w:line="247" w:lineRule="auto"/>
        <w:tabs>
          <w:tab w:leader="none" w:pos="21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xml:space="preserve">. The per share exercise price for the Shares to be issued pursuant to exercise of an Option shall be determined by the Administrator and shall be no less than 100% of the Fair Market Value per share on the Date of Grant;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case of an Incentive Stock Option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83" w:lineRule="exact"/>
        <w:rPr>
          <w:sz w:val="20"/>
          <w:szCs w:val="20"/>
          <w:color w:val="auto"/>
        </w:rPr>
      </w:pPr>
    </w:p>
    <w:p>
      <w:pPr>
        <w:jc w:val="both"/>
        <w:ind w:firstLine="1945"/>
        <w:spacing w:after="0" w:line="247" w:lineRule="auto"/>
        <w:rPr>
          <w:sz w:val="20"/>
          <w:szCs w:val="20"/>
          <w:color w:val="auto"/>
        </w:rPr>
      </w:pPr>
      <w:r>
        <w:rPr>
          <w:rFonts w:ascii="Times New Roman" w:cs="Times New Roman" w:eastAsia="Times New Roman" w:hAnsi="Times New Roman"/>
          <w:sz w:val="22"/>
          <w:szCs w:val="22"/>
          <w:color w:val="auto"/>
        </w:rPr>
        <w:t>Notwithstanding the foregoing, in the event that the Company or a Subsidiary consummates a transaction described in Section 424(a) of the Code (e.g., the acquisition of property or stock from an unrelated corporation), persons who become Employees on account of such transaction may be granted Options in substitution for options granted by their former employer. If such substitute Options are granted, the Administrator, in its sole discretion and consistent with Section 424(a) of the Code, may determine that such substitute Options shall have an exercise price less than one hundred percent (100%) of the Fair Market Value of the Shares on the Date of Grant.</w:t>
      </w:r>
    </w:p>
    <w:p>
      <w:pPr>
        <w:spacing w:after="0" w:line="1" w:lineRule="exact"/>
        <w:rPr>
          <w:sz w:val="20"/>
          <w:szCs w:val="20"/>
          <w:color w:val="auto"/>
        </w:rPr>
      </w:pPr>
    </w:p>
    <w:p>
      <w:pPr>
        <w:jc w:val="both"/>
        <w:ind w:left="660" w:firstLine="1293"/>
        <w:spacing w:after="0" w:line="259" w:lineRule="auto"/>
        <w:tabs>
          <w:tab w:leader="none" w:pos="2815"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No Repricing</w:t>
      </w:r>
      <w:r>
        <w:rPr>
          <w:rFonts w:ascii="Times New Roman" w:cs="Times New Roman" w:eastAsia="Times New Roman" w:hAnsi="Times New Roman"/>
          <w:sz w:val="21"/>
          <w:szCs w:val="21"/>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 (a) Awards with a lower exercise price,</w:t>
      </w:r>
    </w:p>
    <w:p>
      <w:pPr>
        <w:spacing w:after="0" w:line="1"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different type of Award, (c) cash, or (d) a combination of (a), (b) and/or (c).</w:t>
      </w:r>
    </w:p>
    <w:p>
      <w:pPr>
        <w:spacing w:after="0" w:line="3" w:lineRule="exact"/>
        <w:rPr>
          <w:rFonts w:ascii="Times New Roman" w:cs="Times New Roman" w:eastAsia="Times New Roman" w:hAnsi="Times New Roman"/>
          <w:sz w:val="22"/>
          <w:szCs w:val="22"/>
          <w:color w:val="auto"/>
        </w:rPr>
      </w:pPr>
    </w:p>
    <w:p>
      <w:pPr>
        <w:jc w:val="both"/>
        <w:ind w:firstLine="1305"/>
        <w:spacing w:after="0" w:line="246" w:lineRule="auto"/>
        <w:tabs>
          <w:tab w:leader="none" w:pos="21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Waiting Period and Exercise Dates</w:t>
      </w:r>
      <w:r>
        <w:rPr>
          <w:rFonts w:ascii="Times New Roman" w:cs="Times New Roman" w:eastAsia="Times New Roman" w:hAnsi="Times New Roman"/>
          <w:sz w:val="22"/>
          <w:szCs w:val="22"/>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 or until performance milestones are satisfied.</w:t>
      </w:r>
    </w:p>
    <w:p>
      <w:pPr>
        <w:spacing w:after="0" w:line="2" w:lineRule="exact"/>
        <w:rPr>
          <w:rFonts w:ascii="Times New Roman" w:cs="Times New Roman" w:eastAsia="Times New Roman" w:hAnsi="Times New Roman"/>
          <w:sz w:val="18"/>
          <w:szCs w:val="18"/>
          <w:color w:val="auto"/>
        </w:rPr>
      </w:pPr>
    </w:p>
    <w:p>
      <w:pPr>
        <w:ind w:right="20" w:firstLine="1305"/>
        <w:spacing w:after="0" w:line="261" w:lineRule="auto"/>
        <w:tabs>
          <w:tab w:leader="none" w:pos="212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shall determine the acceptable form of consideration for exercising an Option, including the method of payment. In the case of an Incentive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20"/>
          </w:cols>
          <w:pgMar w:left="240" w:top="841" w:right="2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22"/>
          <w:szCs w:val="22"/>
          <w:color w:val="auto"/>
        </w:rPr>
        <w:t>Stock Option, the Administrator shall determine the acceptable form of consideration at the time of grant. Subject to Applicable Laws, such consideration may consist entirely of:</w:t>
      </w:r>
    </w:p>
    <w:p>
      <w:pPr>
        <w:spacing w:after="0" w:line="2" w:lineRule="exact"/>
        <w:rPr>
          <w:sz w:val="20"/>
          <w:szCs w:val="20"/>
          <w:color w:val="auto"/>
        </w:rPr>
      </w:pPr>
    </w:p>
    <w:p>
      <w:pPr>
        <w:ind w:left="2780" w:hanging="503"/>
        <w:spacing w:after="0"/>
        <w:tabs>
          <w:tab w:leader="none" w:pos="27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cash;</w:t>
      </w:r>
    </w:p>
    <w:p>
      <w:pPr>
        <w:spacing w:after="0" w:line="5" w:lineRule="exact"/>
        <w:rPr>
          <w:rFonts w:ascii="Times New Roman" w:cs="Times New Roman" w:eastAsia="Times New Roman" w:hAnsi="Times New Roman"/>
          <w:sz w:val="18"/>
          <w:szCs w:val="18"/>
          <w:color w:val="auto"/>
        </w:rPr>
      </w:pPr>
    </w:p>
    <w:p>
      <w:pPr>
        <w:ind w:left="2820" w:hanging="543"/>
        <w:spacing w:after="0"/>
        <w:tabs>
          <w:tab w:leader="none" w:pos="28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check;</w:t>
      </w:r>
    </w:p>
    <w:p>
      <w:pPr>
        <w:spacing w:after="0" w:line="17" w:lineRule="exact"/>
        <w:rPr>
          <w:rFonts w:ascii="Times New Roman" w:cs="Times New Roman" w:eastAsia="Times New Roman" w:hAnsi="Times New Roman"/>
          <w:sz w:val="18"/>
          <w:szCs w:val="18"/>
          <w:color w:val="auto"/>
        </w:rPr>
      </w:pPr>
    </w:p>
    <w:p>
      <w:pPr>
        <w:jc w:val="both"/>
        <w:ind w:firstLine="2277"/>
        <w:spacing w:after="0" w:line="251" w:lineRule="auto"/>
        <w:tabs>
          <w:tab w:leader="none" w:pos="286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 w:lineRule="exact"/>
        <w:rPr>
          <w:rFonts w:ascii="Times New Roman" w:cs="Times New Roman" w:eastAsia="Times New Roman" w:hAnsi="Times New Roman"/>
          <w:sz w:val="18"/>
          <w:szCs w:val="18"/>
          <w:color w:val="auto"/>
        </w:rPr>
      </w:pPr>
    </w:p>
    <w:p>
      <w:pPr>
        <w:jc w:val="both"/>
        <w:ind w:firstLine="2277"/>
        <w:spacing w:after="0" w:line="247" w:lineRule="auto"/>
        <w:tabs>
          <w:tab w:leader="none" w:pos="28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2" w:lineRule="exact"/>
        <w:rPr>
          <w:rFonts w:ascii="Times New Roman" w:cs="Times New Roman" w:eastAsia="Times New Roman" w:hAnsi="Times New Roman"/>
          <w:sz w:val="18"/>
          <w:szCs w:val="18"/>
          <w:color w:val="auto"/>
        </w:rPr>
      </w:pPr>
    </w:p>
    <w:p>
      <w:pPr>
        <w:ind w:left="2820" w:hanging="543"/>
        <w:spacing w:after="0"/>
        <w:tabs>
          <w:tab w:leader="none" w:pos="28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combination of the foregoing methods of payment; or</w:t>
      </w:r>
    </w:p>
    <w:p>
      <w:pPr>
        <w:spacing w:after="0" w:line="5" w:lineRule="exact"/>
        <w:rPr>
          <w:rFonts w:ascii="Times New Roman" w:cs="Times New Roman" w:eastAsia="Times New Roman" w:hAnsi="Times New Roman"/>
          <w:sz w:val="18"/>
          <w:szCs w:val="18"/>
          <w:color w:val="auto"/>
        </w:rPr>
      </w:pPr>
    </w:p>
    <w:p>
      <w:pPr>
        <w:jc w:val="both"/>
        <w:ind w:firstLine="2277"/>
        <w:spacing w:after="0" w:line="251" w:lineRule="auto"/>
        <w:tabs>
          <w:tab w:leader="none" w:pos="28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 w:lineRule="exact"/>
        <w:rPr>
          <w:rFonts w:ascii="Times New Roman" w:cs="Times New Roman" w:eastAsia="Times New Roman" w:hAnsi="Times New Roman"/>
          <w:sz w:val="18"/>
          <w:szCs w:val="18"/>
          <w:color w:val="auto"/>
        </w:rPr>
      </w:pPr>
    </w:p>
    <w:p>
      <w:pPr>
        <w:jc w:val="both"/>
        <w:ind w:firstLine="1305"/>
        <w:spacing w:after="0" w:line="252" w:lineRule="auto"/>
        <w:tabs>
          <w:tab w:leader="none" w:pos="21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Exercise of Option; Rights as a Stockholder</w:t>
      </w:r>
      <w:r>
        <w:rPr>
          <w:rFonts w:ascii="Times New Roman" w:cs="Times New Roman" w:eastAsia="Times New Roman" w:hAnsi="Times New Roman"/>
          <w:sz w:val="22"/>
          <w:szCs w:val="22"/>
          <w:color w:val="auto"/>
        </w:rPr>
        <w:t>. Any Option granted hereunder shall be exercisable according to the terms of the Plan and at such times and under such conditions as determined by the Administrator and set forth in the Award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Option may not be exercised for a fraction of a Share.</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 such Share promptly after the Option is exercised. No adjustment will be made for a dividend or other right for which the record date is prior to the date the Share is issued, except as provided in Section 13 of the Plan.</w:t>
      </w:r>
    </w:p>
    <w:p>
      <w:pPr>
        <w:spacing w:after="0" w:line="19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Exercising an Option in any manner shall decrease the number of Shares thereafter available for sale under the Option, by the number of Shares as to which the Option is exercised.</w:t>
      </w:r>
    </w:p>
    <w:p>
      <w:pPr>
        <w:spacing w:after="0" w:line="2" w:lineRule="exact"/>
        <w:rPr>
          <w:sz w:val="20"/>
          <w:szCs w:val="20"/>
          <w:color w:val="auto"/>
        </w:rPr>
      </w:pPr>
    </w:p>
    <w:p>
      <w:pPr>
        <w:jc w:val="both"/>
        <w:ind w:left="660" w:firstLine="1293"/>
        <w:spacing w:after="0" w:line="245" w:lineRule="auto"/>
        <w:tabs>
          <w:tab w:leader="none" w:pos="28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Relationship as an Employee</w:t>
      </w:r>
      <w:r>
        <w:rPr>
          <w:rFonts w:ascii="Times New Roman" w:cs="Times New Roman" w:eastAsia="Times New Roman" w:hAnsi="Times New Roman"/>
          <w:sz w:val="22"/>
          <w:szCs w:val="22"/>
          <w:color w:val="auto"/>
        </w:rPr>
        <w:t>. If a Participant ceases to be an Employee, other than by reason of the Participant’s death or Disability, the Participant may exercise his or her Option within such period of time as is specified in the Award Agreement, to the extent that the Participant was entitled to exercise it on the date of termination. In the absence of a specified time in the Award Agreement, the Option shall remain exercisable for three (3) months following the date of the Participant’s termination, to the extent that the Participant was entitled to exercise it on the date of termination.</w:t>
      </w:r>
    </w:p>
    <w:p>
      <w:pPr>
        <w:spacing w:after="0" w:line="3" w:lineRule="exact"/>
        <w:rPr>
          <w:rFonts w:ascii="Times New Roman" w:cs="Times New Roman" w:eastAsia="Times New Roman" w:hAnsi="Times New Roman"/>
          <w:sz w:val="18"/>
          <w:szCs w:val="18"/>
          <w:color w:val="auto"/>
        </w:rPr>
      </w:pPr>
    </w:p>
    <w:p>
      <w:pPr>
        <w:jc w:val="both"/>
        <w:ind w:firstLine="1305"/>
        <w:spacing w:after="0" w:line="252" w:lineRule="auto"/>
        <w:tabs>
          <w:tab w:leader="none" w:pos="22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a Participant ceases to be an Employee by reason of the Participant’s Disability, the Participant may exercise his or her Option for twelve (12) months following the date of the Participant’s termination, to the extent that the Participant was entitled to exercise it on the date of termination.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20"/>
          </w:cols>
          <w:pgMar w:left="240" w:top="841" w:right="239" w:bottom="1440" w:gutter="0" w:footer="0" w:header="0"/>
        </w:sectPr>
      </w:pPr>
    </w:p>
    <w:bookmarkStart w:id="78" w:name="page79"/>
    <w:bookmarkEnd w:id="78"/>
    <w:p>
      <w:pPr>
        <w:jc w:val="both"/>
        <w:ind w:firstLine="1305"/>
        <w:spacing w:after="0" w:line="249" w:lineRule="auto"/>
        <w:tabs>
          <w:tab w:leader="none" w:pos="211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ceases to be an Employee by reason of the Participant’s death, the Option may be exercised for twelve (12) months following the date of the Participant’s death, to the extent that the Participant was entitled to exercise it on such date,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w:t>
      </w:r>
    </w:p>
    <w:p>
      <w:pPr>
        <w:spacing w:after="0" w:line="2" w:lineRule="exact"/>
        <w:rPr>
          <w:rFonts w:ascii="Times New Roman" w:cs="Times New Roman" w:eastAsia="Times New Roman" w:hAnsi="Times New Roman"/>
          <w:sz w:val="18"/>
          <w:szCs w:val="18"/>
          <w:color w:val="auto"/>
        </w:rPr>
      </w:pPr>
    </w:p>
    <w:p>
      <w:pPr>
        <w:jc w:val="both"/>
        <w:ind w:firstLine="1305"/>
        <w:spacing w:after="0" w:line="247" w:lineRule="auto"/>
        <w:tabs>
          <w:tab w:leader="none" w:pos="21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Notwithstanding the foregoing, in no event may the Option be exercised after its term has expired. If, on the date of termination, the Participant is not vested as to his or her entire Option, the Shares covered by the unvested portion of the Option shall revert to the Plan. If, after termination, the Participant (or the Participant’s beneficiary or representative, as the case may be) does not exercise his or her Option within the time specified by the Administrator, the Option shall terminate, and the Shares covered by such Option shall revert to the Plan.</w:t>
      </w:r>
    </w:p>
    <w:p>
      <w:pPr>
        <w:spacing w:after="0" w:line="186" w:lineRule="exact"/>
        <w:rPr>
          <w:rFonts w:ascii="Times New Roman" w:cs="Times New Roman" w:eastAsia="Times New Roman" w:hAnsi="Times New Roman"/>
          <w:sz w:val="18"/>
          <w:szCs w:val="18"/>
          <w:color w:val="auto"/>
        </w:rPr>
      </w:pPr>
    </w:p>
    <w:p>
      <w:pPr>
        <w:jc w:val="both"/>
        <w:ind w:firstLine="656"/>
        <w:spacing w:after="0" w:line="249" w:lineRule="auto"/>
        <w:tabs>
          <w:tab w:leader="none" w:pos="11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ISO $100,000 Rule</w:t>
      </w:r>
      <w:r>
        <w:rPr>
          <w:rFonts w:ascii="Times New Roman" w:cs="Times New Roman" w:eastAsia="Times New Roman" w:hAnsi="Times New Roman"/>
          <w:sz w:val="22"/>
          <w:szCs w:val="22"/>
          <w:color w:val="auto"/>
        </w:rPr>
        <w:t>. Each Option shall be designated in the Notice of Grant as either an Incentive Stock Option or a Nonstatutory Stock Option. However, notwithstanding such designations, to the extent that the aggregate Fair Market Value of Shares subject to a Participant’s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8(k), Incentive Stock Options shall be taken into account in the order in which they were granted, and the Fair Market Value of the Shares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determined as of the time of grant.</w:t>
      </w:r>
    </w:p>
    <w:p>
      <w:pPr>
        <w:spacing w:after="0" w:line="4" w:lineRule="exact"/>
        <w:rPr>
          <w:sz w:val="20"/>
          <w:szCs w:val="20"/>
          <w:color w:val="auto"/>
        </w:rPr>
      </w:pPr>
    </w:p>
    <w:p>
      <w:pPr>
        <w:ind w:left="2080" w:hanging="775"/>
        <w:spacing w:after="0"/>
        <w:tabs>
          <w:tab w:leader="none" w:pos="2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6" w:lineRule="exact"/>
        <w:rPr>
          <w:sz w:val="20"/>
          <w:szCs w:val="20"/>
          <w:color w:val="auto"/>
        </w:rPr>
      </w:pPr>
    </w:p>
    <w:p>
      <w:pPr>
        <w:ind w:right="220" w:firstLine="1305"/>
        <w:spacing w:after="0" w:line="247" w:lineRule="auto"/>
        <w:tabs>
          <w:tab w:leader="none" w:pos="21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xml:space="preserve">. Subject to the terms and provisions of the Plan, the Administrator, at any time and from time to time, may grant Shares of Restricted Stock to Employees as the Administrator, in its sole discretion, shall determine. The Administrator, in its sole discretion, shall determine the number of Shares to be granted to each Participant, provided that during any Fiscal Year, no Participant shall receive more than a total of 750,000 Shares of Restricted Stock (and/or Restricted Stock Units);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limit shall be 1,500,000 Shares in the Participant’s first Fiscal Year of Company service.</w:t>
      </w:r>
    </w:p>
    <w:p>
      <w:pPr>
        <w:spacing w:after="0" w:line="2" w:lineRule="exact"/>
        <w:rPr>
          <w:rFonts w:ascii="Times New Roman" w:cs="Times New Roman" w:eastAsia="Times New Roman" w:hAnsi="Times New Roman"/>
          <w:sz w:val="18"/>
          <w:szCs w:val="18"/>
          <w:color w:val="auto"/>
        </w:rPr>
      </w:pPr>
    </w:p>
    <w:p>
      <w:pPr>
        <w:ind w:right="40" w:firstLine="1305"/>
        <w:spacing w:after="0" w:line="246" w:lineRule="auto"/>
        <w:tabs>
          <w:tab w:leader="none" w:pos="21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2" w:lineRule="exact"/>
        <w:rPr>
          <w:rFonts w:ascii="Times New Roman" w:cs="Times New Roman" w:eastAsia="Times New Roman" w:hAnsi="Times New Roman"/>
          <w:sz w:val="18"/>
          <w:szCs w:val="18"/>
          <w:color w:val="auto"/>
        </w:rPr>
      </w:pPr>
    </w:p>
    <w:p>
      <w:pPr>
        <w:jc w:val="both"/>
        <w:ind w:right="840" w:firstLine="1305"/>
        <w:spacing w:after="0" w:line="261" w:lineRule="auto"/>
        <w:tabs>
          <w:tab w:leader="none" w:pos="21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Except as provided in this Section 9, Shares of Restricted Stock may not be sold, transferred, pledged, assigned, or otherwise alienated or hypothecated until the end of the applicable Period of Restriction.</w:t>
      </w:r>
    </w:p>
    <w:p>
      <w:pPr>
        <w:spacing w:after="0" w:line="1" w:lineRule="exact"/>
        <w:rPr>
          <w:rFonts w:ascii="Times New Roman" w:cs="Times New Roman" w:eastAsia="Times New Roman" w:hAnsi="Times New Roman"/>
          <w:sz w:val="17"/>
          <w:szCs w:val="17"/>
          <w:color w:val="auto"/>
        </w:rPr>
      </w:pPr>
    </w:p>
    <w:p>
      <w:pPr>
        <w:ind w:right="120" w:firstLine="1305"/>
        <w:spacing w:after="0" w:line="249" w:lineRule="auto"/>
        <w:tabs>
          <w:tab w:leader="none" w:pos="21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 in accordance with this Section 9(d).</w:t>
      </w:r>
    </w:p>
    <w:p>
      <w:pPr>
        <w:spacing w:after="0" w:line="1" w:lineRule="exact"/>
        <w:rPr>
          <w:rFonts w:ascii="Times New Roman" w:cs="Times New Roman" w:eastAsia="Times New Roman" w:hAnsi="Times New Roman"/>
          <w:sz w:val="18"/>
          <w:szCs w:val="18"/>
          <w:color w:val="auto"/>
        </w:rPr>
      </w:pPr>
    </w:p>
    <w:p>
      <w:pPr>
        <w:jc w:val="both"/>
        <w:ind w:right="120" w:firstLine="2277"/>
        <w:spacing w:after="0" w:line="249" w:lineRule="auto"/>
        <w:tabs>
          <w:tab w:leader="none" w:pos="276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General Restrictions</w:t>
      </w:r>
      <w:r>
        <w:rPr>
          <w:rFonts w:ascii="Times New Roman" w:cs="Times New Roman" w:eastAsia="Times New Roman" w:hAnsi="Times New Roman"/>
          <w:sz w:val="22"/>
          <w:szCs w:val="22"/>
          <w:color w:val="auto"/>
        </w:rPr>
        <w:t>. The Administrator may set restrictions based upon continued employment or service with the Company and its affiliates, the achievement of specific performance objectives (Company-wide, departmental, or individual), the achievement of Performance Goals, applicable federal or state securities laws, other Applicable Laws, or any other basis determined by the Administrator in its discretion.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20"/>
          </w:cols>
          <w:pgMar w:left="240" w:top="841" w:right="239" w:bottom="1440" w:gutter="0" w:footer="0" w:header="0"/>
        </w:sectPr>
      </w:pPr>
    </w:p>
    <w:bookmarkStart w:id="79" w:name="page80"/>
    <w:bookmarkEnd w:id="79"/>
    <w:p>
      <w:pPr>
        <w:ind w:left="-20" w:right="20" w:firstLine="2277"/>
        <w:spacing w:after="0" w:line="248" w:lineRule="auto"/>
        <w:tabs>
          <w:tab w:leader="none" w:pos="2793"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Section 162(m) Performance Restrictions</w:t>
      </w:r>
      <w:r>
        <w:rPr>
          <w:rFonts w:ascii="Times New Roman" w:cs="Times New Roman" w:eastAsia="Times New Roman" w:hAnsi="Times New Roman"/>
          <w:sz w:val="22"/>
          <w:szCs w:val="22"/>
          <w:color w:val="auto"/>
        </w:rPr>
        <w:t>. For purposes of qualifying grants of Restricted Stock as “performance-based compensation” under Section 162(m) of the Code, the Administrator, in its discretion, may set restrictions based upon the achievement of Performance Goals. The Performance Goals shall be set by the Administrator on or before the latest date permissible to enable the Restricted Stock to qualify as “performance-based compensation” under Section 162(m) of the Code. In granting Restricted Stock which is intended to qualify under Section 162(m) of the Code, the Administrator shall follow any procedures determined by it from time to time to be necessary or appropriate to ensure qualification of the Restricted Stock under Section 162(m) of the Code (e.g., in determining the Performance Goals).</w:t>
      </w:r>
    </w:p>
    <w:p>
      <w:pPr>
        <w:spacing w:after="0" w:line="3" w:lineRule="exact"/>
        <w:rPr>
          <w:rFonts w:ascii="Times New Roman" w:cs="Times New Roman" w:eastAsia="Times New Roman" w:hAnsi="Times New Roman"/>
          <w:sz w:val="18"/>
          <w:szCs w:val="18"/>
          <w:color w:val="auto"/>
        </w:rPr>
      </w:pPr>
    </w:p>
    <w:p>
      <w:pPr>
        <w:ind w:left="-20" w:right="80" w:firstLine="2277"/>
        <w:spacing w:after="0" w:line="249" w:lineRule="auto"/>
        <w:tabs>
          <w:tab w:leader="none" w:pos="2843"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The Administrator, in its discretion, may legend the Shares representing Restricted Stock to give appropriate notice of such restrictions.</w:t>
      </w:r>
    </w:p>
    <w:p>
      <w:pPr>
        <w:spacing w:after="0" w:line="1" w:lineRule="exact"/>
        <w:rPr>
          <w:rFonts w:ascii="Times New Roman" w:cs="Times New Roman" w:eastAsia="Times New Roman" w:hAnsi="Times New Roman"/>
          <w:sz w:val="18"/>
          <w:szCs w:val="18"/>
          <w:color w:val="auto"/>
        </w:rPr>
      </w:pPr>
    </w:p>
    <w:p>
      <w:pPr>
        <w:ind w:left="-20" w:right="120" w:firstLine="1305"/>
        <w:spacing w:after="0" w:line="245" w:lineRule="auto"/>
        <w:tabs>
          <w:tab w:leader="none" w:pos="2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Removal of Restrictions</w:t>
      </w:r>
      <w:r>
        <w:rPr>
          <w:rFonts w:ascii="Times New Roman" w:cs="Times New Roman" w:eastAsia="Times New Roman" w:hAnsi="Times New Roman"/>
          <w:sz w:val="22"/>
          <w:szCs w:val="22"/>
          <w:color w:val="auto"/>
        </w:rPr>
        <w:t>. Except as otherwise provided in this Section 9, Shares of Restricted Stock covered by each Restricted Stock grant made under the Plan shall be 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9(d)(iii) removed from his or her Share,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 w:lineRule="exact"/>
        <w:rPr>
          <w:rFonts w:ascii="Times New Roman" w:cs="Times New Roman" w:eastAsia="Times New Roman" w:hAnsi="Times New Roman"/>
          <w:sz w:val="18"/>
          <w:szCs w:val="18"/>
          <w:color w:val="auto"/>
        </w:rPr>
      </w:pPr>
    </w:p>
    <w:p>
      <w:pPr>
        <w:ind w:left="-20" w:right="300" w:firstLine="1305"/>
        <w:spacing w:after="0" w:line="261" w:lineRule="auto"/>
        <w:tabs>
          <w:tab w:leader="none" w:pos="210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During the Period of Restriction, Participants holding Shares of Restricted Stock granted hereunder may exercise full voting rights with respect to those Shares, unless the Administrator determines otherwise.</w:t>
      </w:r>
    </w:p>
    <w:p>
      <w:pPr>
        <w:spacing w:after="0" w:line="1" w:lineRule="exact"/>
        <w:rPr>
          <w:rFonts w:ascii="Times New Roman" w:cs="Times New Roman" w:eastAsia="Times New Roman" w:hAnsi="Times New Roman"/>
          <w:sz w:val="17"/>
          <w:szCs w:val="17"/>
          <w:color w:val="auto"/>
        </w:rPr>
      </w:pPr>
    </w:p>
    <w:p>
      <w:pPr>
        <w:ind w:left="-20" w:firstLine="1305"/>
        <w:spacing w:after="0" w:line="245" w:lineRule="auto"/>
        <w:tabs>
          <w:tab w:leader="none" w:pos="21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Dividends and Other Distributions</w:t>
      </w:r>
      <w:r>
        <w:rPr>
          <w:rFonts w:ascii="Times New Roman" w:cs="Times New Roman" w:eastAsia="Times New Roman" w:hAnsi="Times New Roman"/>
          <w:sz w:val="22"/>
          <w:szCs w:val="22"/>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5" w:lineRule="exact"/>
        <w:rPr>
          <w:rFonts w:ascii="Times New Roman" w:cs="Times New Roman" w:eastAsia="Times New Roman" w:hAnsi="Times New Roman"/>
          <w:sz w:val="18"/>
          <w:szCs w:val="18"/>
          <w:color w:val="auto"/>
        </w:rPr>
      </w:pPr>
    </w:p>
    <w:p>
      <w:pPr>
        <w:ind w:left="-20" w:right="80" w:firstLine="1305"/>
        <w:spacing w:after="0" w:line="261" w:lineRule="auto"/>
        <w:tabs>
          <w:tab w:leader="none" w:pos="213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Return of Restricted Stock to the Company</w:t>
      </w:r>
      <w:r>
        <w:rPr>
          <w:rFonts w:ascii="Times New Roman" w:cs="Times New Roman" w:eastAsia="Times New Roman" w:hAnsi="Times New Roman"/>
          <w:sz w:val="21"/>
          <w:szCs w:val="21"/>
          <w:color w:val="auto"/>
        </w:rPr>
        <w:t>. On the date set forth in the Award Agreement, the Restricted Stock for which restrictions have not lapsed shall revert to the Company and again shall become available for grant under the Plan.</w:t>
      </w:r>
    </w:p>
    <w:p>
      <w:pPr>
        <w:spacing w:after="0" w:line="1" w:lineRule="exact"/>
        <w:rPr>
          <w:rFonts w:ascii="Times New Roman" w:cs="Times New Roman" w:eastAsia="Times New Roman" w:hAnsi="Times New Roman"/>
          <w:sz w:val="17"/>
          <w:szCs w:val="17"/>
          <w:color w:val="auto"/>
        </w:rPr>
      </w:pPr>
    </w:p>
    <w:p>
      <w:pPr>
        <w:ind w:left="1500" w:hanging="864"/>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jc w:val="both"/>
        <w:ind w:left="-20" w:firstLine="1305"/>
        <w:spacing w:after="0" w:line="248" w:lineRule="auto"/>
        <w:tabs>
          <w:tab w:leader="none" w:pos="21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xml:space="preserve">. Restricted Stock Units may be granted to Employees at any time and from time to time, as shall be determined by the Administrator, in its sole discretion. The Administrator shall have complete discretion in determining the number of Restricted Stock Units granted to each Participant, provided that during any Fiscal Year, no Participant shall receive more than a total of 750,000 Restricted Stock Units (and/or Shares of Restricted Stock);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limit shall be 1,500,000 Restricted Stock Units in the Participant’s first Fiscal Year of Company service.</w:t>
      </w:r>
    </w:p>
    <w:p>
      <w:pPr>
        <w:spacing w:after="0" w:line="1" w:lineRule="exact"/>
        <w:rPr>
          <w:rFonts w:ascii="Times New Roman" w:cs="Times New Roman" w:eastAsia="Times New Roman" w:hAnsi="Times New Roman"/>
          <w:sz w:val="18"/>
          <w:szCs w:val="18"/>
          <w:color w:val="auto"/>
        </w:rPr>
      </w:pPr>
    </w:p>
    <w:p>
      <w:pPr>
        <w:ind w:left="-20" w:right="340" w:firstLine="1305"/>
        <w:spacing w:after="0" w:line="249" w:lineRule="auto"/>
        <w:tabs>
          <w:tab w:leader="none" w:pos="213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Value of Restricted Stock Units</w:t>
      </w:r>
      <w:r>
        <w:rPr>
          <w:rFonts w:ascii="Times New Roman" w:cs="Times New Roman" w:eastAsia="Times New Roman" w:hAnsi="Times New Roman"/>
          <w:sz w:val="22"/>
          <w:szCs w:val="22"/>
          <w:color w:val="auto"/>
        </w:rPr>
        <w:t>. Each Restricted Stock Unit shall have an initial value equal to the Fair Market Value of a Share on the Grant Date.</w:t>
      </w:r>
    </w:p>
    <w:p>
      <w:pPr>
        <w:spacing w:after="0" w:line="1" w:lineRule="exact"/>
        <w:rPr>
          <w:rFonts w:ascii="Times New Roman" w:cs="Times New Roman" w:eastAsia="Times New Roman" w:hAnsi="Times New Roman"/>
          <w:sz w:val="18"/>
          <w:szCs w:val="18"/>
          <w:color w:val="auto"/>
        </w:rPr>
      </w:pPr>
    </w:p>
    <w:p>
      <w:pPr>
        <w:ind w:left="-20" w:right="180" w:firstLine="1305"/>
        <w:spacing w:after="0" w:line="252" w:lineRule="auto"/>
        <w:tabs>
          <w:tab w:leader="none" w:pos="21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Each Award of Restricted Stock Units shall be evidenced by an Award Agreement that shall specify any vesting conditions, the number of Restricted Stock Units granted, and such other terms and conditions as the Administrator, in its sole discretion, shall determine.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80"/>
          </w:cols>
          <w:pgMar w:left="260" w:top="841" w:right="259" w:bottom="1440" w:gutter="0" w:footer="0" w:header="0"/>
        </w:sectPr>
      </w:pPr>
    </w:p>
    <w:bookmarkStart w:id="80" w:name="page81"/>
    <w:bookmarkEnd w:id="80"/>
    <w:p>
      <w:pPr>
        <w:ind w:right="240" w:firstLine="1305"/>
        <w:spacing w:after="0" w:line="250" w:lineRule="auto"/>
        <w:tabs>
          <w:tab w:leader="none" w:pos="21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Performance Objectives and Other Terms</w:t>
      </w:r>
      <w:r>
        <w:rPr>
          <w:rFonts w:ascii="Times New Roman" w:cs="Times New Roman" w:eastAsia="Times New Roman" w:hAnsi="Times New Roman"/>
          <w:sz w:val="22"/>
          <w:szCs w:val="22"/>
          <w:color w:val="auto"/>
        </w:rPr>
        <w:t>. The Administrator, in its discretion, shall set performance objectives or other vesting criteria which, depending on the extent to which they are met, will determine the number or value of Restricted Stock Units that will be paid out to the Participants. Each Award of Restricted Stock Units shall be evidenced by an Award Agreement that shall specify the Performance Period, and such other terms and conditions as the Administrator, in its sole discretion, shall determine.</w:t>
      </w:r>
    </w:p>
    <w:p>
      <w:pPr>
        <w:spacing w:after="0" w:line="2" w:lineRule="exact"/>
        <w:rPr>
          <w:rFonts w:ascii="Times New Roman" w:cs="Times New Roman" w:eastAsia="Times New Roman" w:hAnsi="Times New Roman"/>
          <w:sz w:val="18"/>
          <w:szCs w:val="18"/>
          <w:color w:val="auto"/>
        </w:rPr>
      </w:pPr>
    </w:p>
    <w:p>
      <w:pPr>
        <w:ind w:right="180" w:firstLine="2277"/>
        <w:spacing w:after="0" w:line="246" w:lineRule="auto"/>
        <w:tabs>
          <w:tab w:leader="none" w:pos="276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General Performance Objectives, Performance Goals or Vesting Criteria</w:t>
      </w:r>
      <w:r>
        <w:rPr>
          <w:rFonts w:ascii="Times New Roman" w:cs="Times New Roman" w:eastAsia="Times New Roman" w:hAnsi="Times New Roman"/>
          <w:sz w:val="22"/>
          <w:szCs w:val="22"/>
          <w:color w:val="auto"/>
        </w:rPr>
        <w:t>. The Administrator may set performance objectives or vesting criteria based upon the achievement of Company-wide, departmental, or individual goals, Performance Goals, applicable federal or state securities laws, or any other basis determined by the Administrator in its discretion (for example, but not by way of limitation, continuous service as an Employee).</w:t>
      </w:r>
    </w:p>
    <w:p>
      <w:pPr>
        <w:spacing w:after="0" w:line="2" w:lineRule="exact"/>
        <w:rPr>
          <w:rFonts w:ascii="Times New Roman" w:cs="Times New Roman" w:eastAsia="Times New Roman" w:hAnsi="Times New Roman"/>
          <w:sz w:val="18"/>
          <w:szCs w:val="18"/>
          <w:color w:val="auto"/>
        </w:rPr>
      </w:pPr>
    </w:p>
    <w:p>
      <w:pPr>
        <w:ind w:right="80" w:firstLine="2277"/>
        <w:spacing w:after="0" w:line="245" w:lineRule="auto"/>
        <w:tabs>
          <w:tab w:leader="none" w:pos="281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Section 162(m) Performance Objectives</w:t>
      </w:r>
      <w:r>
        <w:rPr>
          <w:rFonts w:ascii="Times New Roman" w:cs="Times New Roman" w:eastAsia="Times New Roman" w:hAnsi="Times New Roman"/>
          <w:sz w:val="22"/>
          <w:szCs w:val="22"/>
          <w:color w:val="auto"/>
        </w:rPr>
        <w:t>. For purposes of qualifying grants of Restricted Stock Units as “performance-based compensation” under Section 162(m) of the Code, the Administrator, in its discretion, may determine that the performance objectives applicable to Restricted Stock Units shall be based on the achievement of Performance Goals. The Performance Goals shall be set by the Administrator on or before the latest date permissible to enable the Restricted Stock Units to qualify as “performance-based compensation” under Section 162(m) of the Code. In granting Restricted Stock Units that are intended to qualify under Section 162(m) of the Code, the Administrator shall follow any procedures determined by it from time to time to be necessary or appropriate to ensure qualification of the Restricted Stock Units under Section 162(m) of the Code (e.g., in determining the Performance Goals).</w:t>
      </w:r>
    </w:p>
    <w:p>
      <w:pPr>
        <w:ind w:right="60" w:firstLine="1305"/>
        <w:spacing w:after="0" w:line="245" w:lineRule="auto"/>
        <w:tabs>
          <w:tab w:leader="none" w:pos="21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Earning of Restricted Stock Units</w:t>
      </w:r>
      <w:r>
        <w:rPr>
          <w:rFonts w:ascii="Times New Roman" w:cs="Times New Roman" w:eastAsia="Times New Roman" w:hAnsi="Times New Roman"/>
          <w:sz w:val="22"/>
          <w:szCs w:val="22"/>
          <w:color w:val="auto"/>
        </w:rPr>
        <w:t>. After the applicable Performance Period has ended, the holder of Restricted Stock Units shall be entitled to receive a payout of the number of Restricted Stock Units earned by the Participant over the Performance Period, to be determined as a function of the extent to which the corresponding performance objectives have been achieved. After the grant of a Restricted Stock Unit, the Administrator, in its sole discretion, may reduce or waive any performance objectives for such Restricted Stock Unit.</w:t>
      </w:r>
    </w:p>
    <w:p>
      <w:pPr>
        <w:spacing w:after="0" w:line="5" w:lineRule="exact"/>
        <w:rPr>
          <w:rFonts w:ascii="Times New Roman" w:cs="Times New Roman" w:eastAsia="Times New Roman" w:hAnsi="Times New Roman"/>
          <w:sz w:val="18"/>
          <w:szCs w:val="18"/>
          <w:color w:val="auto"/>
        </w:rPr>
      </w:pPr>
    </w:p>
    <w:p>
      <w:pPr>
        <w:ind w:right="80" w:firstLine="1305"/>
        <w:spacing w:after="0" w:line="247" w:lineRule="auto"/>
        <w:tabs>
          <w:tab w:leader="none" w:pos="212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 and Timing of Payment of Restricted Stock Units</w:t>
      </w:r>
      <w:r>
        <w:rPr>
          <w:rFonts w:ascii="Times New Roman" w:cs="Times New Roman" w:eastAsia="Times New Roman" w:hAnsi="Times New Roman"/>
          <w:sz w:val="22"/>
          <w:szCs w:val="22"/>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2" w:lineRule="exact"/>
        <w:rPr>
          <w:rFonts w:ascii="Times New Roman" w:cs="Times New Roman" w:eastAsia="Times New Roman" w:hAnsi="Times New Roman"/>
          <w:sz w:val="18"/>
          <w:szCs w:val="18"/>
          <w:color w:val="auto"/>
        </w:rPr>
      </w:pPr>
    </w:p>
    <w:p>
      <w:pPr>
        <w:ind w:right="180" w:firstLine="1305"/>
        <w:spacing w:after="0" w:line="247" w:lineRule="auto"/>
        <w:tabs>
          <w:tab w:leader="none" w:pos="21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Cancellation of Restricted Stock Units</w:t>
      </w:r>
      <w:r>
        <w:rPr>
          <w:rFonts w:ascii="Times New Roman" w:cs="Times New Roman" w:eastAsia="Times New Roman" w:hAnsi="Times New Roman"/>
          <w:sz w:val="22"/>
          <w:szCs w:val="22"/>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2" w:lineRule="exact"/>
        <w:rPr>
          <w:rFonts w:ascii="Times New Roman" w:cs="Times New Roman" w:eastAsia="Times New Roman" w:hAnsi="Times New Roman"/>
          <w:sz w:val="18"/>
          <w:szCs w:val="18"/>
          <w:color w:val="auto"/>
        </w:rPr>
      </w:pPr>
    </w:p>
    <w:p>
      <w:pPr>
        <w:ind w:right="20" w:firstLine="656"/>
        <w:spacing w:after="0" w:line="249" w:lineRule="auto"/>
        <w:tabs>
          <w:tab w:leader="none" w:pos="15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Leaves of Absence</w:t>
      </w:r>
      <w:r>
        <w:rPr>
          <w:rFonts w:ascii="Times New Roman" w:cs="Times New Roman" w:eastAsia="Times New Roman" w:hAnsi="Times New Roman"/>
          <w:sz w:val="22"/>
          <w:szCs w:val="22"/>
          <w:color w:val="auto"/>
        </w:rPr>
        <w:t>. Unless the Administrator provides otherwise or except as otherwise required by Applicable Laws, vesting of Awards granted hereunder shall continue during any leave of absence approved by the Administrator.</w:t>
      </w:r>
    </w:p>
    <w:p>
      <w:pPr>
        <w:spacing w:after="0" w:line="1" w:lineRule="exact"/>
        <w:rPr>
          <w:rFonts w:ascii="Times New Roman" w:cs="Times New Roman" w:eastAsia="Times New Roman" w:hAnsi="Times New Roman"/>
          <w:sz w:val="18"/>
          <w:szCs w:val="18"/>
          <w:color w:val="auto"/>
        </w:rPr>
      </w:pPr>
    </w:p>
    <w:p>
      <w:pPr>
        <w:jc w:val="both"/>
        <w:ind w:firstLine="656"/>
        <w:spacing w:after="0" w:line="246" w:lineRule="auto"/>
        <w:tabs>
          <w:tab w:leader="none" w:pos="152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Non-Transferability of Awards</w:t>
      </w:r>
      <w:r>
        <w:rPr>
          <w:rFonts w:ascii="Times New Roman" w:cs="Times New Roman" w:eastAsia="Times New Roman" w:hAnsi="Times New Roman"/>
          <w:sz w:val="22"/>
          <w:szCs w:val="22"/>
          <w:color w:val="auto"/>
        </w:rPr>
        <w:t>. Unless determined otherwise by the Administrator, an Award may not be sold, pledged, assigned, hypothecated, transferred, or disposed of in any manner other than by will or by the laws of descent or distribution and may be exercised, 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 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20"/>
          </w:cols>
          <w:pgMar w:left="240" w:top="841" w:right="239" w:bottom="1440" w:gutter="0" w:footer="0" w:header="0"/>
        </w:sectPr>
      </w:pPr>
    </w:p>
    <w:bookmarkStart w:id="81" w:name="page82"/>
    <w:bookmarkEnd w:id="81"/>
    <w:p>
      <w:pPr>
        <w:ind w:left="1520" w:hanging="864"/>
        <w:spacing w:after="0"/>
        <w:tabs>
          <w:tab w:leader="none" w:pos="1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Adjustments Upon Changes in Capitalization</w:t>
      </w:r>
      <w:r>
        <w:rPr>
          <w:rFonts w:ascii="Times New Roman" w:cs="Times New Roman" w:eastAsia="Times New Roman" w:hAnsi="Times New Roman"/>
          <w:sz w:val="22"/>
          <w:szCs w:val="22"/>
          <w:color w:val="auto"/>
        </w:rPr>
        <w:t>.</w:t>
      </w:r>
    </w:p>
    <w:p>
      <w:pPr>
        <w:spacing w:after="0" w:line="29" w:lineRule="exact"/>
        <w:rPr>
          <w:rFonts w:ascii="Times New Roman" w:cs="Times New Roman" w:eastAsia="Times New Roman" w:hAnsi="Times New Roman"/>
          <w:sz w:val="18"/>
          <w:szCs w:val="18"/>
          <w:color w:val="auto"/>
        </w:rPr>
      </w:pPr>
    </w:p>
    <w:p>
      <w:pPr>
        <w:jc w:val="both"/>
        <w:ind w:firstLine="1305"/>
        <w:spacing w:after="0" w:line="245" w:lineRule="auto"/>
        <w:tabs>
          <w:tab w:leader="none" w:pos="21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and the 162(m) Fiscal Year share issuance limits under Sections 8(a), 9(a) and 10(a) hereof,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5" w:lineRule="exact"/>
        <w:rPr>
          <w:rFonts w:ascii="Times New Roman" w:cs="Times New Roman" w:eastAsia="Times New Roman" w:hAnsi="Times New Roman"/>
          <w:sz w:val="18"/>
          <w:szCs w:val="18"/>
          <w:color w:val="auto"/>
        </w:rPr>
      </w:pPr>
    </w:p>
    <w:p>
      <w:pPr>
        <w:jc w:val="both"/>
        <w:ind w:firstLine="1305"/>
        <w:spacing w:after="0" w:line="245" w:lineRule="auto"/>
        <w:tabs>
          <w:tab w:leader="none" w:pos="215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ind w:firstLine="1305"/>
        <w:spacing w:after="0" w:line="261" w:lineRule="auto"/>
        <w:tabs>
          <w:tab w:leader="none" w:pos="21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In the event of a Change of Control, each outstanding Award shall be assumed or an equivalent Award substituted by the successor corporation or a Parent or Subsidiary of the successor corporation.</w:t>
      </w:r>
    </w:p>
    <w:p>
      <w:pPr>
        <w:spacing w:after="0" w:line="169" w:lineRule="exact"/>
        <w:rPr>
          <w:sz w:val="20"/>
          <w:szCs w:val="20"/>
          <w:color w:val="auto"/>
        </w:rPr>
      </w:pPr>
    </w:p>
    <w:p>
      <w:pPr>
        <w:jc w:val="both"/>
        <w:ind w:firstLine="1945"/>
        <w:spacing w:after="0" w:line="246" w:lineRule="auto"/>
        <w:rPr>
          <w:sz w:val="20"/>
          <w:szCs w:val="20"/>
          <w:color w:val="auto"/>
        </w:rPr>
      </w:pPr>
      <w:r>
        <w:rPr>
          <w:rFonts w:ascii="Times New Roman" w:cs="Times New Roman" w:eastAsia="Times New Roman" w:hAnsi="Times New Roman"/>
          <w:sz w:val="22"/>
          <w:szCs w:val="22"/>
          <w:color w:val="auto"/>
        </w:rPr>
        <w:t xml:space="preserve">In the event that the successor corporation refuses to assume or substitute for the Award, the Participant shall fully vest in and have the right to exercise all of his or her outstanding Options, including Shares as to which such Awards would not otherwise be vested or exercisable, all restrictions on Restricted Stock will lapse and all Restricted Stock Units shall become fully vested;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with respect to Awards with performance-based vesting, including but not limited to Restricted Stock and Restricted Stock Units, all performance goals or other vesting criteria will be deemed achieved at one hundred percent (100%) of target levels and all other terms and conditions met. In addition, if an Option is not assumed or substituted 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192" w:lineRule="exact"/>
        <w:rPr>
          <w:sz w:val="20"/>
          <w:szCs w:val="20"/>
          <w:color w:val="auto"/>
        </w:rPr>
      </w:pPr>
    </w:p>
    <w:p>
      <w:pPr>
        <w:jc w:val="both"/>
        <w:ind w:firstLine="1945"/>
        <w:spacing w:after="0" w:line="252" w:lineRule="auto"/>
        <w:rPr>
          <w:sz w:val="20"/>
          <w:szCs w:val="20"/>
          <w:color w:val="auto"/>
        </w:rPr>
      </w:pPr>
      <w:r>
        <w:rPr>
          <w:rFonts w:ascii="Times New Roman" w:cs="Times New Roman" w:eastAsia="Times New Roman" w:hAnsi="Times New Roman"/>
          <w:sz w:val="22"/>
          <w:szCs w:val="22"/>
          <w:color w:val="auto"/>
        </w:rPr>
        <w:t>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Common Stock for each Share held on the effective date of the transaction (and if holders were offered a choice 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20"/>
          </w:cols>
          <w:pgMar w:left="240" w:top="841" w:right="239" w:bottom="1440" w:gutter="0" w:footer="0" w:header="0"/>
        </w:sectPr>
      </w:pPr>
    </w:p>
    <w:bookmarkStart w:id="82" w:name="page83"/>
    <w:bookmarkEnd w:id="8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consideration, the type of consideration chosen by the holders of a majority of the outstanding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185" w:lineRule="exact"/>
        <w:rPr>
          <w:sz w:val="20"/>
          <w:szCs w:val="20"/>
          <w:color w:val="auto"/>
        </w:rPr>
      </w:pPr>
    </w:p>
    <w:p>
      <w:pPr>
        <w:ind w:right="20" w:firstLine="1945"/>
        <w:spacing w:after="0" w:line="247" w:lineRule="auto"/>
        <w:rPr>
          <w:sz w:val="20"/>
          <w:szCs w:val="20"/>
          <w:color w:val="auto"/>
        </w:rPr>
      </w:pPr>
      <w:r>
        <w:rPr>
          <w:rFonts w:ascii="Times New Roman" w:cs="Times New Roman" w:eastAsia="Times New Roman" w:hAnsi="Times New Roman"/>
          <w:sz w:val="22"/>
          <w:szCs w:val="22"/>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5" w:lineRule="exact"/>
        <w:rPr>
          <w:sz w:val="20"/>
          <w:szCs w:val="20"/>
          <w:color w:val="auto"/>
        </w:rPr>
      </w:pPr>
    </w:p>
    <w:p>
      <w:pPr>
        <w:ind w:left="2180" w:hanging="875"/>
        <w:spacing w:after="0"/>
        <w:tabs>
          <w:tab w:leader="none" w:pos="2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6" w:lineRule="exact"/>
        <w:rPr>
          <w:sz w:val="20"/>
          <w:szCs w:val="20"/>
          <w:color w:val="auto"/>
        </w:rPr>
      </w:pPr>
    </w:p>
    <w:p>
      <w:pPr>
        <w:jc w:val="both"/>
        <w:ind w:firstLine="1305"/>
        <w:spacing w:after="0" w:line="251"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Subject to Section 8(d) hereof, the Board may at any time amend, alter, suspend or terminate the Plan; provided, however, that to the extent necessary and desirable to comply with any Applicable Law, the Company shall obtain stockholder approval of any Plan amendment in such a manner and to such a degree as required.</w:t>
      </w:r>
    </w:p>
    <w:p>
      <w:pPr>
        <w:spacing w:after="0" w:line="1" w:lineRule="exact"/>
        <w:rPr>
          <w:rFonts w:ascii="Times New Roman" w:cs="Times New Roman" w:eastAsia="Times New Roman" w:hAnsi="Times New Roman"/>
          <w:sz w:val="18"/>
          <w:szCs w:val="18"/>
          <w:color w:val="auto"/>
        </w:rPr>
      </w:pPr>
    </w:p>
    <w:p>
      <w:pPr>
        <w:jc w:val="both"/>
        <w:ind w:firstLine="1305"/>
        <w:spacing w:after="0" w:line="247" w:lineRule="auto"/>
        <w:tabs>
          <w:tab w:leader="none" w:pos="215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pacing w:after="0" w:line="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jc w:val="both"/>
        <w:ind w:firstLine="1305"/>
        <w:spacing w:after="0" w:line="251" w:lineRule="auto"/>
        <w:tabs>
          <w:tab w:leader="none" w:pos="21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 w:lineRule="exact"/>
        <w:rPr>
          <w:rFonts w:ascii="Times New Roman" w:cs="Times New Roman" w:eastAsia="Times New Roman" w:hAnsi="Times New Roman"/>
          <w:sz w:val="18"/>
          <w:szCs w:val="18"/>
          <w:color w:val="auto"/>
        </w:rPr>
      </w:pPr>
    </w:p>
    <w:p>
      <w:pPr>
        <w:jc w:val="both"/>
        <w:ind w:firstLine="1305"/>
        <w:spacing w:after="0" w:line="246" w:lineRule="auto"/>
        <w:tabs>
          <w:tab w:leader="none" w:pos="21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Liability of Company</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jc w:val="both"/>
        <w:ind w:firstLine="1305"/>
        <w:spacing w:after="0" w:line="249" w:lineRule="auto"/>
        <w:tabs>
          <w:tab w:leader="none" w:pos="21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 w:lineRule="exact"/>
        <w:rPr>
          <w:rFonts w:ascii="Times New Roman" w:cs="Times New Roman" w:eastAsia="Times New Roman" w:hAnsi="Times New Roman"/>
          <w:sz w:val="18"/>
          <w:szCs w:val="18"/>
          <w:color w:val="auto"/>
        </w:rPr>
      </w:pPr>
    </w:p>
    <w:p>
      <w:pPr>
        <w:jc w:val="both"/>
        <w:ind w:firstLine="1305"/>
        <w:spacing w:after="0" w:line="246" w:lineRule="auto"/>
        <w:tabs>
          <w:tab w:leader="none" w:pos="21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Grants Exceeding Allotted Shares</w:t>
      </w:r>
      <w:r>
        <w:rPr>
          <w:rFonts w:ascii="Times New Roman" w:cs="Times New Roman" w:eastAsia="Times New Roman" w:hAnsi="Times New Roman"/>
          <w:sz w:val="22"/>
          <w:szCs w:val="22"/>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14(b) of the Plan.</w:t>
      </w:r>
    </w:p>
    <w:p>
      <w:pPr>
        <w:spacing w:after="0" w:line="2" w:lineRule="exact"/>
        <w:rPr>
          <w:rFonts w:ascii="Times New Roman" w:cs="Times New Roman" w:eastAsia="Times New Roman" w:hAnsi="Times New Roman"/>
          <w:sz w:val="18"/>
          <w:szCs w:val="18"/>
          <w:color w:val="auto"/>
        </w:rPr>
      </w:pPr>
    </w:p>
    <w:p>
      <w:pPr>
        <w:ind w:firstLine="656"/>
        <w:spacing w:after="0" w:line="261"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The Company, during the term of this Plan, will at all times reserve and keep available such number of Shares as shall be sufficient to satisfy the requirements of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20"/>
          </w:cols>
          <w:pgMar w:left="240" w:top="1053" w:right="239" w:bottom="1440" w:gutter="0" w:footer="0" w:header="0"/>
        </w:sectPr>
      </w:pPr>
    </w:p>
    <w:bookmarkStart w:id="83" w:name="page84"/>
    <w:bookmarkEnd w:id="83"/>
    <w:p>
      <w:pPr>
        <w:jc w:val="both"/>
        <w:ind w:firstLine="656"/>
        <w:spacing w:after="0" w:line="255"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Deferrals</w:t>
      </w:r>
      <w:r>
        <w:rPr>
          <w:rFonts w:ascii="Times New Roman" w:cs="Times New Roman" w:eastAsia="Times New Roman" w:hAnsi="Times New Roman"/>
          <w:sz w:val="22"/>
          <w:szCs w:val="22"/>
          <w:color w:val="auto"/>
        </w:rPr>
        <w:t>. The Administrator,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ind w:right="20" w:firstLine="656"/>
        <w:spacing w:after="0" w:line="249"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No Employee shall have the right to be selected to receive an Award under this Plan, or, having been so selected, to be selected to receive a future Award.</w:t>
      </w:r>
    </w:p>
    <w:p>
      <w:pPr>
        <w:spacing w:after="0" w:line="1" w:lineRule="exact"/>
        <w:rPr>
          <w:rFonts w:ascii="Times New Roman" w:cs="Times New Roman" w:eastAsia="Times New Roman" w:hAnsi="Times New Roman"/>
          <w:sz w:val="18"/>
          <w:szCs w:val="18"/>
          <w:color w:val="auto"/>
        </w:rPr>
      </w:pPr>
    </w:p>
    <w:p>
      <w:pPr>
        <w:jc w:val="both"/>
        <w:ind w:firstLine="656"/>
        <w:spacing w:after="0" w:line="246"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Except to the limited extent provided in Sections 9(f) or 9(g), no Participant (nor any beneficiary) shall have any of the rights or privileges of a stockholder of the Company with respect to any Shares issuable pursuant to an Award (or exercise thereof), unless and until Shares shall have been issued, recorded on the records of the Company or its transfer agents or registrars, and delivered to the Participant (or beneficiary).</w:t>
      </w:r>
    </w:p>
    <w:p>
      <w:pPr>
        <w:spacing w:after="0" w:line="2" w:lineRule="exact"/>
        <w:rPr>
          <w:rFonts w:ascii="Times New Roman" w:cs="Times New Roman" w:eastAsia="Times New Roman" w:hAnsi="Times New Roman"/>
          <w:sz w:val="18"/>
          <w:szCs w:val="18"/>
          <w:color w:val="auto"/>
        </w:rPr>
      </w:pPr>
    </w:p>
    <w:p>
      <w:pPr>
        <w:jc w:val="both"/>
        <w:ind w:firstLine="656"/>
        <w:spacing w:after="0" w:line="245"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the Company shall have the power and the right to deduct or withhold, or require a Participant to remit to the Company, an amount sufficient to satisfy federal, state, local and foreign taxes (including the Participant’s FICA obligation) required to be withheld with respect to such Award (or exercise thereof). Notwithstanding any contrary provision of the Plan, if a Participant fails to remit to the Company such withholding amount within the time period specified by the Administrator (in its discretion), the Participant’s Award may, in the Administrator’s discretion, be forfeited and in such case the Participant shall not receive any of the Shares subject to such Award.</w:t>
      </w:r>
    </w:p>
    <w:p>
      <w:pPr>
        <w:spacing w:after="0" w:line="1" w:lineRule="exact"/>
        <w:rPr>
          <w:rFonts w:ascii="Times New Roman" w:cs="Times New Roman" w:eastAsia="Times New Roman" w:hAnsi="Times New Roman"/>
          <w:sz w:val="18"/>
          <w:szCs w:val="18"/>
          <w:color w:val="auto"/>
        </w:rPr>
      </w:pPr>
    </w:p>
    <w:p>
      <w:pPr>
        <w:jc w:val="both"/>
        <w:ind w:firstLine="656"/>
        <w:spacing w:after="0" w:line="256" w:lineRule="auto"/>
        <w:tabs>
          <w:tab w:leader="none" w:pos="152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jc w:val="both"/>
        <w:ind w:firstLine="656"/>
        <w:spacing w:after="0" w:line="245"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or require a Participant to satisfy all or part of the tax withholding obligations in connection with an Award by (a) having the Company withhold otherwise deliverable Shares having an aggregate Fair Market Value that does not exceed the amount required to be withheld, (b) delivering to the Company already-owned Shares having an aggregate Fair Market Value sufficient to satisfy the amount required to be withheld, or (c) such other method as may be approved by the Administrator and set forth in an Award Agreement. The number of Shares withheld under subsection (a) shall be determined using rates up to, but not exceeding, the maximum tax rates applicable in a particular jurisdiction on the date that the amount of tax to be withheld is to be determined. The Fair Market Value of the Shares to be withheld or delivered shall be determined as of the date that the amount of the tax to be withheld is determined.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20"/>
          </w:cols>
          <w:pgMar w:left="240" w:top="841" w:right="239" w:bottom="1440" w:gutter="0" w:footer="0" w:header="0"/>
        </w:sectPr>
      </w:pPr>
    </w:p>
    <w:bookmarkStart w:id="84" w:name="page85"/>
    <w:bookmarkEnd w:id="84"/>
    <w:p>
      <w:pPr>
        <w:jc w:val="both"/>
        <w:ind w:firstLine="656"/>
        <w:spacing w:after="0" w:line="246"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0" w:lineRule="exact"/>
        <w:rPr>
          <w:rFonts w:ascii="Times New Roman" w:cs="Times New Roman" w:eastAsia="Times New Roman" w:hAnsi="Times New Roman"/>
          <w:sz w:val="18"/>
          <w:szCs w:val="18"/>
          <w:color w:val="auto"/>
        </w:rPr>
      </w:pPr>
    </w:p>
    <w:p>
      <w:pPr>
        <w:jc w:val="both"/>
        <w:ind w:firstLine="656"/>
        <w:spacing w:after="0" w:line="247"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2" w:lineRule="exact"/>
        <w:rPr>
          <w:rFonts w:ascii="Times New Roman" w:cs="Times New Roman" w:eastAsia="Times New Roman" w:hAnsi="Times New Roman"/>
          <w:sz w:val="18"/>
          <w:szCs w:val="18"/>
          <w:color w:val="auto"/>
        </w:rPr>
      </w:pPr>
    </w:p>
    <w:p>
      <w:pPr>
        <w:ind w:firstLine="656"/>
        <w:spacing w:after="0" w:line="249"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Except where otherwise indicated by the context, any masculine term used herein also shall include the feminine; the plural shall include the singular and the singular shall include the plural.</w:t>
      </w:r>
    </w:p>
    <w:p>
      <w:pPr>
        <w:spacing w:after="0" w:line="1" w:lineRule="exact"/>
        <w:rPr>
          <w:rFonts w:ascii="Times New Roman" w:cs="Times New Roman" w:eastAsia="Times New Roman" w:hAnsi="Times New Roman"/>
          <w:sz w:val="18"/>
          <w:szCs w:val="18"/>
          <w:color w:val="auto"/>
        </w:rPr>
      </w:pPr>
    </w:p>
    <w:p>
      <w:pPr>
        <w:jc w:val="both"/>
        <w:ind w:right="20" w:firstLine="656"/>
        <w:spacing w:after="0" w:line="247"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 w:lineRule="exact"/>
        <w:rPr>
          <w:rFonts w:ascii="Times New Roman" w:cs="Times New Roman" w:eastAsia="Times New Roman" w:hAnsi="Times New Roman"/>
          <w:sz w:val="18"/>
          <w:szCs w:val="18"/>
          <w:color w:val="auto"/>
        </w:rPr>
      </w:pPr>
    </w:p>
    <w:p>
      <w:pPr>
        <w:ind w:firstLine="656"/>
        <w:spacing w:after="0" w:line="249"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all Award Agreements shall be construed in accordance with and governed by the laws of the State of California (with the exception of its conflict of laws provisions).</w:t>
      </w:r>
    </w:p>
    <w:p>
      <w:pPr>
        <w:spacing w:after="0" w:line="1" w:lineRule="exact"/>
        <w:rPr>
          <w:rFonts w:ascii="Times New Roman" w:cs="Times New Roman" w:eastAsia="Times New Roman" w:hAnsi="Times New Roman"/>
          <w:sz w:val="18"/>
          <w:szCs w:val="18"/>
          <w:color w:val="auto"/>
        </w:rPr>
      </w:pPr>
    </w:p>
    <w:p>
      <w:pPr>
        <w:ind w:firstLine="656"/>
        <w:spacing w:after="0" w:line="261" w:lineRule="auto"/>
        <w:tabs>
          <w:tab w:leader="none" w:pos="1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are provided herein for convenience only, and shall not serve as a basis for interpretation or construction of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20"/>
          </w:cols>
          <w:pgMar w:left="240" w:top="841"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AUTODESK,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EMPLOYEE STOCK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(Settled in Shares)</w:t>
      </w:r>
    </w:p>
    <w:p>
      <w:pPr>
        <w:spacing w:after="0" w:line="220" w:lineRule="exact"/>
        <w:rPr>
          <w:sz w:val="20"/>
          <w:szCs w:val="20"/>
          <w:color w:val="auto"/>
        </w:rPr>
      </w:pPr>
    </w:p>
    <w:p>
      <w:pPr>
        <w:jc w:val="both"/>
        <w:ind w:firstLine="656"/>
        <w:spacing w:after="0" w:line="244" w:lineRule="auto"/>
        <w:tabs>
          <w:tab w:leader="none" w:pos="103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Employee (“Participant”) named in the Notice of Grant of Restricted Stock Units (the “Notice of Grant”) under the Autodesk, Inc. 2012 Employee Stock Plan (the “Plan”) the number of Restricted Stock Units indicated on the Notice of Grant, subject to all of the terms and conditions in this Agreement (as defined 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spacing w:after="0" w:line="186" w:lineRule="exact"/>
        <w:rPr>
          <w:rFonts w:ascii="Times New Roman" w:cs="Times New Roman" w:eastAsia="Times New Roman" w:hAnsi="Times New Roman"/>
          <w:sz w:val="20"/>
          <w:szCs w:val="20"/>
          <w:color w:val="auto"/>
        </w:rPr>
      </w:pPr>
    </w:p>
    <w:p>
      <w:pPr>
        <w:jc w:val="both"/>
        <w:ind w:firstLine="656"/>
        <w:spacing w:after="0" w:line="249" w:lineRule="auto"/>
        <w:tabs>
          <w:tab w:leader="none" w:pos="100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Settle</w:t>
      </w:r>
      <w:r>
        <w:rPr>
          <w:rFonts w:ascii="Times New Roman" w:cs="Times New Roman" w:eastAsia="Times New Roman" w:hAnsi="Times New Roman"/>
          <w:sz w:val="20"/>
          <w:szCs w:val="20"/>
          <w:color w:val="auto"/>
        </w:rPr>
        <w:t>. Unless and until the Restricted Stock Units shall have vested in the manner set forth in Sections 3 or 4 of this Agreement or Section 13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03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of this Agreement and Section 13 of the Plan, and subject to Section 5 of this Agreement, the Restricted Stock Units awarded by this Agreement shall vest in accordance with the vesting provisions set forth in the Notice of Grant.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spacing w:after="0" w:line="180" w:lineRule="exact"/>
        <w:rPr>
          <w:rFonts w:ascii="Times New Roman" w:cs="Times New Roman" w:eastAsia="Times New Roman" w:hAnsi="Times New Roman"/>
          <w:sz w:val="20"/>
          <w:szCs w:val="20"/>
          <w:color w:val="auto"/>
        </w:rPr>
      </w:pPr>
    </w:p>
    <w:p>
      <w:pPr>
        <w:jc w:val="both"/>
        <w:ind w:firstLine="656"/>
        <w:spacing w:after="0" w:line="241" w:lineRule="auto"/>
        <w:tabs>
          <w:tab w:leader="none" w:pos="103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 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 an Employee, then the settlement of such accelerated Restricted Stock Units shall not be made until the earlier of (A) six (6) months and one (1) day following the date of Participant’s termination as an Employee or (B) Participant’s death. It is the intent of this Agreement to comply with or be exempt from the requirements of Section 409A of the Code so that none of the Restricted Stock Units provided under this Agreement or Shares issuable thereunder shall be subject to the additional tax imposed under Section 409A of the Code, and any ambiguities herein shall be interpreted to so comply.</w:t>
      </w:r>
    </w:p>
    <w:p>
      <w:pPr>
        <w:spacing w:after="0" w:line="19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of Status as an Employee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5"/>
        <w:spacing w:after="0" w:line="254" w:lineRule="auto"/>
        <w:tabs>
          <w:tab w:leader="none" w:pos="159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 and Section 5(b), the balance of the Restricted Stock Units that have not vested as of the time of Participant’s termination as an Employee for any or no reason shall be forfeited and automatically transferred to and reacquired by the Company at no cost to the Company, and Participant’s right to acquire any Shares hereunder shall immediately terminate.</w:t>
      </w:r>
    </w:p>
    <w:p>
      <w:pPr>
        <w:spacing w:after="0" w:line="174" w:lineRule="exact"/>
        <w:rPr>
          <w:rFonts w:ascii="Times New Roman" w:cs="Times New Roman" w:eastAsia="Times New Roman" w:hAnsi="Times New Roman"/>
          <w:sz w:val="20"/>
          <w:szCs w:val="20"/>
          <w:color w:val="auto"/>
        </w:rPr>
      </w:pPr>
    </w:p>
    <w:p>
      <w:pPr>
        <w:jc w:val="both"/>
        <w:ind w:firstLine="1305"/>
        <w:spacing w:after="0" w:line="244" w:lineRule="auto"/>
        <w:tabs>
          <w:tab w:leader="none" w:pos="157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5(a), if Participant is subject to the Company’s Executive Change in Control Program on his or her Termination Date (defined below), upon any termination without Cause (defined below) or for Good Reason (defined below) following a Change of Control (defined below), unvested Restricted Stock Units with vesting schedules subject only to Participant’s continuous service as an Employee (“Time-Based RSUs”) shall vest in full as of such termination, and unvested Restricted Stock Units which are not Time-Based RSUs (“Performance-Based RSUs”) shall vest at the “target” level set forth in the Notice of Grant as of such termination. For purposes of this Section 5(b), “Cause”, “Change of Control”, “Good Reason” and “Termination Date” shall have the meaning set forth in the version of the Company’s Executive Change in Control Program, as in effect on the Termination Date.</w:t>
      </w:r>
    </w:p>
    <w:p>
      <w:pPr>
        <w:spacing w:after="0" w:line="186" w:lineRule="exact"/>
        <w:rPr>
          <w:rFonts w:ascii="Times New Roman" w:cs="Times New Roman" w:eastAsia="Times New Roman" w:hAnsi="Times New Roman"/>
          <w:sz w:val="20"/>
          <w:szCs w:val="20"/>
          <w:color w:val="auto"/>
        </w:rPr>
      </w:pPr>
    </w:p>
    <w:p>
      <w:pPr>
        <w:jc w:val="both"/>
        <w:ind w:firstLine="656"/>
        <w:spacing w:after="0" w:line="235" w:lineRule="auto"/>
        <w:tabs>
          <w:tab w:leader="none" w:pos="103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color w:val="auto"/>
        </w:rPr>
        <w:t>. Unless otherwise specified in the country-specific provisions in Exhibit B, 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8 and the other provisions of this Agreement, but, subject to Applicable Law, in no event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8 and the other provisions of this Agreement.</w:t>
      </w:r>
    </w:p>
    <w:p>
      <w:pPr>
        <w:spacing w:after="0" w:line="204"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 or Death of Participant</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72" w:right="239" w:bottom="261" w:gutter="0" w:footer="0" w:header="0"/>
        </w:sectPr>
      </w:pPr>
    </w:p>
    <w:bookmarkStart w:id="86" w:name="page87"/>
    <w:bookmarkEnd w:id="86"/>
    <w:p>
      <w:pPr>
        <w:ind w:firstLine="656"/>
        <w:spacing w:after="0" w:line="268" w:lineRule="auto"/>
        <w:tabs>
          <w:tab w:leader="none" w:pos="11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7(c), if Participant ceases to be an Employee by reason of his or her Disability during the term of this Award, all unvested Time-Based RSUs shall vest in full as of the date of such cessation of employment due to such Disability.</w:t>
      </w:r>
    </w:p>
    <w:p>
      <w:pPr>
        <w:spacing w:after="0" w:line="174" w:lineRule="exact"/>
        <w:rPr>
          <w:rFonts w:ascii="Times New Roman" w:cs="Times New Roman" w:eastAsia="Times New Roman" w:hAnsi="Times New Roman"/>
          <w:sz w:val="20"/>
          <w:szCs w:val="20"/>
          <w:color w:val="auto"/>
        </w:rPr>
      </w:pPr>
    </w:p>
    <w:p>
      <w:pPr>
        <w:jc w:val="both"/>
        <w:ind w:firstLine="656"/>
        <w:spacing w:after="0" w:line="244" w:lineRule="auto"/>
        <w:tabs>
          <w:tab w:leader="none" w:pos="108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rFonts w:ascii="Times New Roman" w:cs="Times New Roman" w:eastAsia="Times New Roman" w:hAnsi="Times New Roman"/>
          <w:sz w:val="20"/>
          <w:szCs w:val="20"/>
          <w:color w:val="auto"/>
        </w:rPr>
      </w:pPr>
    </w:p>
    <w:p>
      <w:pPr>
        <w:jc w:val="both"/>
        <w:ind w:firstLine="656"/>
        <w:spacing w:after="0" w:line="254" w:lineRule="auto"/>
        <w:tabs>
          <w:tab w:leader="none" w:pos="93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or death.</w:t>
      </w:r>
    </w:p>
    <w:p>
      <w:pPr>
        <w:spacing w:after="0" w:line="188" w:lineRule="exact"/>
        <w:rPr>
          <w:sz w:val="20"/>
          <w:szCs w:val="20"/>
          <w:color w:val="auto"/>
        </w:rPr>
      </w:pPr>
    </w:p>
    <w:p>
      <w:pPr>
        <w:jc w:val="both"/>
        <w:ind w:firstLine="656"/>
        <w:spacing w:after="0" w:line="242" w:lineRule="auto"/>
        <w:tabs>
          <w:tab w:leader="none" w:pos="11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1"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this regard, Participant authorizes the Company and/or the Employer, or their respective agents, at their discretion, to satisfy any obligations with regard to withholding of Tax-Related Items by one or a combination of the following:</w:t>
      </w:r>
    </w:p>
    <w:p>
      <w:pPr>
        <w:spacing w:after="0" w:line="160" w:lineRule="exact"/>
        <w:rPr>
          <w:sz w:val="20"/>
          <w:szCs w:val="20"/>
          <w:color w:val="auto"/>
        </w:rPr>
      </w:pPr>
    </w:p>
    <w:p>
      <w:pPr>
        <w:ind w:left="1300" w:hanging="320"/>
        <w:spacing w:after="0" w:line="269" w:lineRule="auto"/>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Participant’s wages or other cash compensation paid to Participant by the Company and/or the Employer, including withholding from cash from Participant’s brokerage account designated by the Company; or</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96" w:lineRule="auto"/>
        <w:tabs>
          <w:tab w:leader="none" w:pos="13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vesting/settlement of the Restricted Stock Units either through a voluntary sale or through a mandatory sale arranged by the Company (on Participant’s behalf pursuant to this authorization); or</w:t>
      </w:r>
    </w:p>
    <w:p>
      <w:pPr>
        <w:spacing w:after="0" w:line="136"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settlement of the Restricted Stock Units.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using rates up to, but not exceeding, the maximum tax rates in Participant’s jurisdiction on the date the amount of Tax-Related Items to be withheld is to be determined. Participant will receive a refund in cash of any amount withheld that exceeds the amount remitted to the applicable tax authorities and will have no entitlement to the Common Stock equivalent or to any interest on such over-withheld amount.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(i) through (iii) above, if Participant is subject to Section 16 of the Exchange Act, any obligation to withhold Tax-Related Items will be satisfied under (iii), unless otherwise determined by the Board or Compensation Committee.</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0" w:lineRule="exact"/>
        <w:rPr>
          <w:sz w:val="20"/>
          <w:szCs w:val="20"/>
          <w:color w:val="auto"/>
        </w:rPr>
      </w:pPr>
    </w:p>
    <w:p>
      <w:pPr>
        <w:jc w:val="both"/>
        <w:ind w:firstLine="656"/>
        <w:spacing w:after="0" w:line="245" w:lineRule="auto"/>
        <w:tabs>
          <w:tab w:leader="none" w:pos="103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w:t>
      </w:r>
    </w:p>
    <w:p>
      <w:pPr>
        <w:spacing w:after="0" w:line="185" w:lineRule="exact"/>
        <w:rPr>
          <w:rFonts w:ascii="Times New Roman" w:cs="Times New Roman" w:eastAsia="Times New Roman" w:hAnsi="Times New Roman"/>
          <w:sz w:val="20"/>
          <w:szCs w:val="20"/>
          <w:color w:val="auto"/>
        </w:rPr>
      </w:pPr>
    </w:p>
    <w:p>
      <w:pPr>
        <w:jc w:val="both"/>
        <w:ind w:firstLine="656"/>
        <w:spacing w:after="0" w:line="242" w:lineRule="auto"/>
        <w:tabs>
          <w:tab w:leader="none" w:pos="110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Employment</w:t>
      </w:r>
      <w:r>
        <w:rPr>
          <w:rFonts w:ascii="Times New Roman" w:cs="Times New Roman" w:eastAsia="Times New Roman" w:hAnsi="Times New Roman"/>
          <w:sz w:val="20"/>
          <w:szCs w:val="20"/>
          <w:color w:val="auto"/>
        </w:rPr>
        <w:t>. PARTICIPANT ACKNOWLEDGES AND AGREES THAT THE VESTING OF THE RESTRICTED STOCK UNITS PURSUANT TO THE VESTING SCHEDULE HEREOF IS EARNED ONLY BY CONTINUING AS AN EMPLOYEE AT THE WILL OF THE COMPANY (OR THE SUBSIDIARY EMPLOYING PARTICIPANT) AND NOT THROUGH THE ACT OF BEING HIRED, BEING GRANTED THIS AWARD OF RESTRICTED STOCK UNITS OR, AS APPLICABLE, ACQUIRING SHARES HEREUNDER. PARTICIPANT FURTHER ACKNOWLEDGES AND AGREES THAT THIS 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sectPr>
          <w:pgSz w:w="11900" w:h="16838" w:orient="portrait"/>
          <w:cols w:equalWidth="0" w:num="1">
            <w:col w:w="11420"/>
          </w:cols>
          <w:pgMar w:left="240" w:top="118" w:right="239" w:bottom="184" w:gutter="0" w:footer="0" w:header="0"/>
        </w:sectPr>
      </w:pPr>
    </w:p>
    <w:bookmarkStart w:id="87" w:name="page88"/>
    <w:bookmarkEnd w:id="87"/>
    <w:p>
      <w:pPr>
        <w:jc w:val="both"/>
        <w:ind w:firstLine="656"/>
        <w:spacing w:after="0" w:line="253" w:lineRule="auto"/>
        <w:tabs>
          <w:tab w:leader="none" w:pos="116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xml:space="preserve">. Unless otherwise specified in Exhibit B, any notice to be given to the Company under the terms of this Agreement will be addressed to the Company at Autodesk, Inc., c/o Stock Administrator, </w:t>
      </w:r>
      <w:r>
        <w:rPr>
          <w:rFonts w:ascii="Times New Roman" w:cs="Times New Roman" w:eastAsia="Times New Roman" w:hAnsi="Times New Roman"/>
          <w:sz w:val="20"/>
          <w:szCs w:val="20"/>
          <w:b w:val="1"/>
          <w:bCs w:val="1"/>
          <w:color w:val="auto"/>
        </w:rPr>
        <w:t>111 McInnis Parkway, San Rafael, CA 94903</w:t>
      </w:r>
      <w:r>
        <w:rPr>
          <w:rFonts w:ascii="Times New Roman" w:cs="Times New Roman" w:eastAsia="Times New Roman" w:hAnsi="Times New Roman"/>
          <w:sz w:val="20"/>
          <w:szCs w:val="20"/>
          <w:color w:val="auto"/>
        </w:rPr>
        <w:t>, or at such other address as the Company may hereafter designate in writing.</w:t>
      </w:r>
    </w:p>
    <w:p>
      <w:pPr>
        <w:spacing w:after="0" w:line="176" w:lineRule="exact"/>
        <w:rPr>
          <w:rFonts w:ascii="Times New Roman" w:cs="Times New Roman" w:eastAsia="Times New Roman" w:hAnsi="Times New Roman"/>
          <w:sz w:val="20"/>
          <w:szCs w:val="20"/>
          <w:color w:val="auto"/>
        </w:rPr>
      </w:pPr>
    </w:p>
    <w:p>
      <w:pPr>
        <w:jc w:val="both"/>
        <w:ind w:firstLine="656"/>
        <w:spacing w:after="0" w:line="247" w:lineRule="auto"/>
        <w:tabs>
          <w:tab w:leader="none" w:pos="112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09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9" w:lineRule="exact"/>
        <w:rPr>
          <w:rFonts w:ascii="Times New Roman" w:cs="Times New Roman" w:eastAsia="Times New Roman" w:hAnsi="Times New Roman"/>
          <w:sz w:val="20"/>
          <w:szCs w:val="20"/>
          <w:color w:val="auto"/>
        </w:rPr>
      </w:pPr>
    </w:p>
    <w:p>
      <w:pPr>
        <w:jc w:val="both"/>
        <w:ind w:firstLine="656"/>
        <w:spacing w:after="0" w:line="243" w:lineRule="auto"/>
        <w:tabs>
          <w:tab w:leader="none" w:pos="112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 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spacing w:after="0" w:line="185" w:lineRule="exact"/>
        <w:rPr>
          <w:sz w:val="20"/>
          <w:szCs w:val="20"/>
          <w:color w:val="auto"/>
        </w:rPr>
      </w:pPr>
    </w:p>
    <w:p>
      <w:pPr>
        <w:jc w:val="both"/>
        <w:ind w:firstLine="656"/>
        <w:spacing w:after="0" w:line="254" w:lineRule="auto"/>
        <w:tabs>
          <w:tab w:leader="none" w:pos="110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w:t>
      </w:r>
    </w:p>
    <w:p>
      <w:pPr>
        <w:spacing w:after="0" w:line="174" w:lineRule="exact"/>
        <w:rPr>
          <w:rFonts w:ascii="Times New Roman" w:cs="Times New Roman" w:eastAsia="Times New Roman" w:hAnsi="Times New Roman"/>
          <w:sz w:val="20"/>
          <w:szCs w:val="20"/>
          <w:color w:val="auto"/>
        </w:rPr>
      </w:pPr>
    </w:p>
    <w:p>
      <w:pPr>
        <w:jc w:val="both"/>
        <w:ind w:firstLine="656"/>
        <w:spacing w:after="0" w:line="260" w:lineRule="auto"/>
        <w:tabs>
          <w:tab w:leader="none" w:pos="109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Authority</w:t>
      </w:r>
      <w:r>
        <w:rPr>
          <w:rFonts w:ascii="Times New Roman" w:cs="Times New Roman" w:eastAsia="Times New Roman" w:hAnsi="Times New Roman"/>
          <w:sz w:val="19"/>
          <w:szCs w:val="19"/>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73" w:lineRule="exact"/>
        <w:rPr>
          <w:rFonts w:ascii="Times New Roman" w:cs="Times New Roman" w:eastAsia="Times New Roman" w:hAnsi="Times New Roman"/>
          <w:sz w:val="19"/>
          <w:szCs w:val="19"/>
          <w:color w:val="auto"/>
        </w:rPr>
      </w:pPr>
    </w:p>
    <w:p>
      <w:pPr>
        <w:jc w:val="both"/>
        <w:ind w:firstLine="656"/>
        <w:spacing w:after="0" w:line="247" w:lineRule="auto"/>
        <w:tabs>
          <w:tab w:leader="none" w:pos="112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0" w:lineRule="exact"/>
        <w:rPr>
          <w:rFonts w:ascii="Times New Roman" w:cs="Times New Roman" w:eastAsia="Times New Roman" w:hAnsi="Times New Roman"/>
          <w:sz w:val="20"/>
          <w:szCs w:val="20"/>
          <w:color w:val="auto"/>
        </w:rPr>
      </w:pPr>
    </w:p>
    <w:p>
      <w:pPr>
        <w:ind w:right="20" w:firstLine="656"/>
        <w:spacing w:after="0" w:line="269" w:lineRule="auto"/>
        <w:tabs>
          <w:tab w:leader="none" w:pos="11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Agreement.</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4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44"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Agreement</w:t>
      </w:r>
      <w:r>
        <w:rPr>
          <w:rFonts w:ascii="Times New Roman" w:cs="Times New Roman" w:eastAsia="Times New Roman" w:hAnsi="Times New Roman"/>
          <w:sz w:val="20"/>
          <w:szCs w:val="20"/>
          <w:color w:val="auto"/>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spacing w:after="0" w:line="186" w:lineRule="exact"/>
        <w:rPr>
          <w:rFonts w:ascii="Times New Roman" w:cs="Times New Roman" w:eastAsia="Times New Roman" w:hAnsi="Times New Roman"/>
          <w:sz w:val="20"/>
          <w:szCs w:val="20"/>
          <w:color w:val="auto"/>
        </w:rPr>
      </w:pPr>
    </w:p>
    <w:p>
      <w:pPr>
        <w:jc w:val="both"/>
        <w:ind w:firstLine="656"/>
        <w:spacing w:after="0" w:line="254" w:lineRule="auto"/>
        <w:tabs>
          <w:tab w:leader="none" w:pos="11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4" w:lineRule="exact"/>
        <w:rPr>
          <w:rFonts w:ascii="Times New Roman" w:cs="Times New Roman" w:eastAsia="Times New Roman" w:hAnsi="Times New Roman"/>
          <w:sz w:val="20"/>
          <w:szCs w:val="20"/>
          <w:color w:val="auto"/>
        </w:rPr>
      </w:pPr>
    </w:p>
    <w:p>
      <w:pPr>
        <w:jc w:val="both"/>
        <w:ind w:firstLine="656"/>
        <w:spacing w:after="0" w:line="247" w:lineRule="auto"/>
        <w:tabs>
          <w:tab w:leader="none" w:pos="11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Award and the provisions of this Agreement shall be governed by, and subject to, the laws of the State of California, without giving effect to the 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Times New Roman" w:cs="Times New Roman" w:eastAsia="Times New Roman" w:hAnsi="Times New Roman"/>
          <w:sz w:val="20"/>
          <w:szCs w:val="20"/>
          <w:b w:val="1"/>
          <w:bCs w:val="1"/>
          <w:color w:val="auto"/>
        </w:rPr>
        <w:t>Marin County, California</w:t>
      </w:r>
      <w:r>
        <w:rPr>
          <w:rFonts w:ascii="Times New Roman" w:cs="Times New Roman" w:eastAsia="Times New Roman" w:hAnsi="Times New Roman"/>
          <w:sz w:val="20"/>
          <w:szCs w:val="20"/>
          <w:color w:val="auto"/>
        </w:rPr>
        <w:t>, or the federal courts for the United States for the Northern District of California, and no other courts, where this Award of Restricted Stock Units is made and/or to be performed.</w:t>
      </w:r>
    </w:p>
    <w:p>
      <w:pPr>
        <w:sectPr>
          <w:pgSz w:w="11900" w:h="16838" w:orient="portrait"/>
          <w:cols w:equalWidth="0" w:num="1">
            <w:col w:w="11420"/>
          </w:cols>
          <w:pgMar w:left="240" w:top="118" w:right="239" w:bottom="212" w:gutter="0" w:footer="0" w:header="0"/>
        </w:sectPr>
      </w:pPr>
    </w:p>
    <w:bookmarkStart w:id="88" w:name="page89"/>
    <w:bookmarkEnd w:id="88"/>
    <w:p>
      <w:pPr>
        <w:ind w:firstLine="656"/>
        <w:spacing w:after="0" w:line="268" w:lineRule="auto"/>
        <w:tabs>
          <w:tab w:leader="none" w:pos="113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Restricted Stock Unit Award, Participant acknowledges that:</w:t>
      </w:r>
    </w:p>
    <w:p>
      <w:pPr>
        <w:spacing w:after="0" w:line="229" w:lineRule="exact"/>
        <w:rPr>
          <w:sz w:val="20"/>
          <w:szCs w:val="20"/>
          <w:color w:val="auto"/>
        </w:rPr>
      </w:pPr>
    </w:p>
    <w:p>
      <w:pPr>
        <w:jc w:val="both"/>
        <w:ind w:firstLine="656"/>
        <w:spacing w:after="0" w:line="247" w:lineRule="auto"/>
        <w:tabs>
          <w:tab w:leader="none" w:pos="108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spacing w:after="0" w:line="194" w:lineRule="exact"/>
        <w:rPr>
          <w:rFonts w:ascii="Times New Roman" w:cs="Times New Roman" w:eastAsia="Times New Roman" w:hAnsi="Times New Roman"/>
          <w:sz w:val="20"/>
          <w:szCs w:val="20"/>
          <w:color w:val="auto"/>
        </w:rPr>
      </w:pPr>
    </w:p>
    <w:p>
      <w:pPr>
        <w:ind w:right="20" w:firstLine="656"/>
        <w:spacing w:after="0" w:line="269" w:lineRule="auto"/>
        <w:tabs>
          <w:tab w:leader="none" w:pos="11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3"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08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18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shall not create a right to continued service with the Company (or any Subsidiary).</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color w:val="auto"/>
        </w:rPr>
      </w:pPr>
    </w:p>
    <w:p>
      <w:pPr>
        <w:jc w:val="both"/>
        <w:ind w:firstLine="656"/>
        <w:spacing w:after="0" w:line="247" w:lineRule="auto"/>
        <w:tabs>
          <w:tab w:leader="none" w:pos="110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spacing w:after="0" w:line="194" w:lineRule="exact"/>
        <w:rPr>
          <w:rFonts w:ascii="Times New Roman" w:cs="Times New Roman" w:eastAsia="Times New Roman" w:hAnsi="Times New Roman"/>
          <w:sz w:val="20"/>
          <w:szCs w:val="20"/>
          <w:color w:val="auto"/>
        </w:rPr>
      </w:pPr>
    </w:p>
    <w:p>
      <w:pPr>
        <w:jc w:val="both"/>
        <w:ind w:firstLine="656"/>
        <w:spacing w:after="0" w:line="249" w:lineRule="auto"/>
        <w:tabs>
          <w:tab w:leader="none" w:pos="11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is not part of normal or expected compensation or salary for any purpose, including, but not limited to, calculating any severance payments, resignation, termination, redundancy, end-of-service payments, bonuses, long-service awards, pension or retirement benefits or similar payments. This applies to any payment even in those jurisdictions requiring such payments upon termination of employment.</w:t>
      </w:r>
    </w:p>
    <w:p>
      <w:pPr>
        <w:spacing w:after="0" w:line="193" w:lineRule="exact"/>
        <w:rPr>
          <w:rFonts w:ascii="Times New Roman" w:cs="Times New Roman" w:eastAsia="Times New Roman" w:hAnsi="Times New Roman"/>
          <w:sz w:val="20"/>
          <w:szCs w:val="20"/>
          <w:color w:val="auto"/>
        </w:rPr>
      </w:pPr>
    </w:p>
    <w:p>
      <w:pPr>
        <w:ind w:firstLine="656"/>
        <w:spacing w:after="0" w:line="269" w:lineRule="auto"/>
        <w:tabs>
          <w:tab w:leader="none" w:pos="11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will not be interpreted to form an employment contract or relationship with the Company; and furthermore the Restricted Stock Unit Award will not be interpreted to form an employment contract with any Subsidiary.</w:t>
      </w:r>
    </w:p>
    <w:p>
      <w:pPr>
        <w:spacing w:after="0" w:line="173" w:lineRule="exact"/>
        <w:rPr>
          <w:rFonts w:ascii="Times New Roman" w:cs="Times New Roman" w:eastAsia="Times New Roman" w:hAnsi="Times New Roman"/>
          <w:sz w:val="20"/>
          <w:szCs w:val="20"/>
          <w:color w:val="auto"/>
        </w:rPr>
      </w:pPr>
    </w:p>
    <w:p>
      <w:pPr>
        <w:ind w:firstLine="656"/>
        <w:spacing w:after="0" w:line="269" w:lineRule="auto"/>
        <w:tabs>
          <w:tab w:leader="none" w:pos="107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173"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Award has been granted to Participant in Participant’s status as an Employee of the Company or its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20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no additional obligations for any Subsidiary employing Participant as a result of this Restricted Stock Unit Award.</w:t>
      </w:r>
    </w:p>
    <w:p>
      <w:pPr>
        <w:spacing w:after="0" w:line="240"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Restricted Stock Units or other grants, if any, will be at the sole discretion of the Company.</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3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and the Shares subject to the Restricted Stock Units, and the income and value of same, are not intended to replace any pension rights or compensation.</w:t>
      </w:r>
    </w:p>
    <w:p>
      <w:pPr>
        <w:spacing w:after="0" w:line="17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Participant is providing services outside the United States:</w:t>
      </w:r>
    </w:p>
    <w:p>
      <w:pPr>
        <w:spacing w:after="0" w:line="229" w:lineRule="exact"/>
        <w:rPr>
          <w:rFonts w:ascii="Times New Roman" w:cs="Times New Roman" w:eastAsia="Times New Roman" w:hAnsi="Times New Roman"/>
          <w:sz w:val="20"/>
          <w:szCs w:val="20"/>
          <w:color w:val="auto"/>
        </w:rPr>
      </w:pPr>
    </w:p>
    <w:p>
      <w:pPr>
        <w:ind w:left="660" w:firstLine="645"/>
        <w:spacing w:after="0" w:line="269" w:lineRule="auto"/>
        <w:tabs>
          <w:tab w:leader="none" w:pos="182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Units and the Shares subject to the Restricted Stock Units are not part of normal or expected compensation or salary for any purpose;</w:t>
      </w:r>
    </w:p>
    <w:p>
      <w:pPr>
        <w:spacing w:after="0" w:line="173"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6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of the Company shall be liable for any foreign exchange rate fluctuation between Participant’s local currency and the United States Dollar that may affect the value of the Restricted Stock Units or of any amounts due to you pursuant to the settlement of the Restricted Stock Units or the subsequent sale of any Shares acquired upon settlement; and</w:t>
      </w:r>
    </w:p>
    <w:p>
      <w:pPr>
        <w:spacing w:after="0" w:line="193"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86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the Employer or any of the other Subsidiaries or affiliates of the Company.</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50" w:lineRule="auto"/>
        <w:tabs>
          <w:tab w:leader="none" w:pos="116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Participant hereby explicitly and unambiguously consents to the collection, use and transfer, in electronic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 form, of Participant’s personal data as described in this Agreement and any other Restricted Stock Unit grant materials by and among, as applicable, the Employer, the Company and its other Subsidiaries and affiliates for the exclusive purpose of implementing, administering and managing Participant’s participation in the Plan.</w:t>
      </w:r>
    </w:p>
    <w:p>
      <w:pPr>
        <w:sectPr>
          <w:pgSz w:w="11900" w:h="16838" w:orient="portrait"/>
          <w:cols w:equalWidth="0" w:num="1">
            <w:col w:w="11420"/>
          </w:cols>
          <w:pgMar w:left="240" w:top="118" w:right="239" w:bottom="63" w:gutter="0" w:footer="0" w:header="0"/>
        </w:sectPr>
      </w:pPr>
    </w:p>
    <w:bookmarkStart w:id="89" w:name="page90"/>
    <w:bookmarkEnd w:id="89"/>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Participant understands that Data will be transferred to E*TRADE Financial Corporate Services, Inc. (“E*TRADE”),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Participant resides outside the United States, Participant may request a list with the names and addresses of any potential recipients of the Data by contacting Participant’s local human resources representative. Participant authorizes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if Participant resides outside the United States, Participant may, at any time, view Data, request information about the storage and processing of Data, require any necessary amendments to Data or refuse or withdraw the consents herein, in any case without cost, by contacting in writing Participant’s local human resources representative. Further, Participant understands that Participant is providing the consents herein on a purely voluntary basis. If Participant does not consent, or if Participant later seeks to revoke Participant’s consent, Participant’s employment status or service with the Employer will not be adversely affected; the only consequence of refusing or withdrawing Participant’s consent is that the Company would not be able to grant Restricted Stock Units or other equity awards to Participant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he or she may contact Participant’s local human resources representative.</w:t>
      </w:r>
    </w:p>
    <w:p>
      <w:pPr>
        <w:spacing w:after="0" w:line="203" w:lineRule="exact"/>
        <w:rPr>
          <w:sz w:val="20"/>
          <w:szCs w:val="20"/>
          <w:color w:val="auto"/>
        </w:rPr>
      </w:pPr>
    </w:p>
    <w:p>
      <w:pPr>
        <w:jc w:val="both"/>
        <w:ind w:firstLine="656"/>
        <w:spacing w:after="0" w:line="249" w:lineRule="auto"/>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Currency Exchange Risk</w:t>
      </w:r>
      <w:r>
        <w:rPr>
          <w:rFonts w:ascii="Times New Roman" w:cs="Times New Roman" w:eastAsia="Times New Roman" w:hAnsi="Times New Roman"/>
          <w:sz w:val="20"/>
          <w:szCs w:val="20"/>
          <w:color w:val="auto"/>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spacing w:after="0" w:line="193" w:lineRule="exact"/>
        <w:rPr>
          <w:rFonts w:ascii="Times New Roman" w:cs="Times New Roman" w:eastAsia="Times New Roman" w:hAnsi="Times New Roman"/>
          <w:sz w:val="20"/>
          <w:szCs w:val="20"/>
          <w:color w:val="auto"/>
        </w:rPr>
      </w:pPr>
    </w:p>
    <w:p>
      <w:pPr>
        <w:jc w:val="both"/>
        <w:ind w:firstLine="656"/>
        <w:spacing w:after="0" w:line="249" w:lineRule="auto"/>
        <w:tabs>
          <w:tab w:leader="none" w:pos="120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spacing w:after="0" w:line="193"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1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10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Participant acknowledge that a waiver by the Company of breach of any provision of this Agreement shall not operate or be construed as a waiver of any other provision of this Agreement, or of any subsequent breach by Participant or any other Participant.</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1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Insider-Trading/Market-Abuse Laws</w:t>
      </w:r>
      <w:r>
        <w:rPr>
          <w:rFonts w:ascii="Times New Roman" w:cs="Times New Roman" w:eastAsia="Times New Roman" w:hAnsi="Times New Roman"/>
          <w:sz w:val="20"/>
          <w:szCs w:val="20"/>
          <w:color w:val="auto"/>
        </w:rPr>
        <w:t>. Participant acknowledges that, depending on Participant’s country, Participant may be subject to insider-trading restrictions and/or market-abuse laws, which may affect Participant’s ability to purchase or sell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the Autodesk, Inc. Insider Trading Policy. Participant is responsible for complying with any applicable restrictions, so Participant is advised to speak to Participant’s personal legal advisor and/or the Company’s Legal Department for further details regarding any applicable insider-trading and/or market-abuse laws in Participant’s country.</w:t>
      </w:r>
    </w:p>
    <w:p>
      <w:pPr>
        <w:spacing w:after="0" w:line="182" w:lineRule="exact"/>
        <w:rPr>
          <w:rFonts w:ascii="Times New Roman" w:cs="Times New Roman" w:eastAsia="Times New Roman" w:hAnsi="Times New Roman"/>
          <w:sz w:val="20"/>
          <w:szCs w:val="20"/>
          <w:color w:val="auto"/>
        </w:rPr>
      </w:pPr>
    </w:p>
    <w:p>
      <w:pPr>
        <w:jc w:val="both"/>
        <w:ind w:firstLine="656"/>
        <w:spacing w:after="0" w:line="244"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Requirements and Exchange Controls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 TO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UNITS</w:t>
      </w:r>
    </w:p>
    <w:p>
      <w:pPr>
        <w:sectPr>
          <w:pgSz w:w="11900" w:h="16838" w:orient="portrait"/>
          <w:cols w:equalWidth="0" w:num="1">
            <w:col w:w="11420"/>
          </w:cols>
          <w:pgMar w:left="240" w:top="111" w:right="239" w:bottom="0" w:gutter="0" w:footer="0" w:header="0"/>
        </w:sectPr>
      </w:pPr>
    </w:p>
    <w:bookmarkStart w:id="90" w:name="page91"/>
    <w:bookmarkEnd w:id="90"/>
    <w:p>
      <w:pPr>
        <w:ind w:left="4300"/>
        <w:spacing w:after="0"/>
        <w:rPr>
          <w:sz w:val="20"/>
          <w:szCs w:val="20"/>
          <w:color w:val="auto"/>
        </w:rPr>
      </w:pPr>
      <w:r>
        <w:rPr>
          <w:rFonts w:ascii="Times New Roman" w:cs="Times New Roman" w:eastAsia="Times New Roman" w:hAnsi="Times New Roman"/>
          <w:sz w:val="20"/>
          <w:szCs w:val="20"/>
          <w:b w:val="1"/>
          <w:bCs w:val="1"/>
          <w:color w:val="auto"/>
        </w:rPr>
        <w:t>UNDER THE AUTODESK, INC.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2012 EMPLOYEE STOCK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Appendix includes additional terms and conditions that govern the Restricted Stock Units granted to Participant under the Autodesk, Inc. (the “Company”) 2012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Participant is currently working and/or residing, is considered a resident of another country for local law purposes or transfers employer and/or residency between countries after the grant date, the Company shall, in its sole discretion, determine to what extent the terms and conditions contained herein shall apply to Participant under these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December 2015.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other than the one in which he or she is currently working and/or residing, transfers after the grant date or is considered a resident of another country for local law purposes, the information contained herein may not apply in the same manner.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ARGENTINA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Neither the Restricted Stock Units nor the underlying Shares are publicly offered or listed on any stock exchange in Argentina. The offer is private and not subject to the supervision of any Argentine governmental authority.</w:t>
      </w:r>
    </w:p>
    <w:p>
      <w:pPr>
        <w:spacing w:after="0" w:line="16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Notwithstanding Section 2 or any other provision of this Agreement, (a) the Restricted Stock Units may not be settled in cash; and (b) the vesting of Restricted Stock Units may be accelerated by the Administrator only upon the death or total permanent disablement of Participant, and to the extent permitted by Applicable Law.</w:t>
      </w:r>
    </w:p>
    <w:p>
      <w:pPr>
        <w:spacing w:after="0" w:line="18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 xml:space="preserve">A Participant will cease to be an employee for the purposes of the Plan (incorporating this Agreement) if he or she is no longer an “Employee” as defined in the Plan, or Participant is no longer employed by any of the following: (a) Participant’s employer in the employment in respect of which Participant acquired the Restricted Stock Units; (b) a holding company (within the meaning of the </w:t>
      </w:r>
      <w:r>
        <w:rPr>
          <w:rFonts w:ascii="Times New Roman" w:cs="Times New Roman" w:eastAsia="Times New Roman" w:hAnsi="Times New Roman"/>
          <w:sz w:val="20"/>
          <w:szCs w:val="20"/>
          <w:i w:val="1"/>
          <w:iCs w:val="1"/>
          <w:color w:val="auto"/>
        </w:rPr>
        <w:t xml:space="preserve">Corporations Act 2001 </w:t>
      </w:r>
      <w:r>
        <w:rPr>
          <w:rFonts w:ascii="Times New Roman" w:cs="Times New Roman" w:eastAsia="Times New Roman" w:hAnsi="Times New Roman"/>
          <w:sz w:val="20"/>
          <w:szCs w:val="20"/>
          <w:color w:val="auto"/>
        </w:rPr>
        <w:t>(Cth)) of Participant’s employer in the employment in respect of which Participant acquired the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Stock Units; (c) a subsidiary (within the meaning of the </w:t>
      </w:r>
      <w:r>
        <w:rPr>
          <w:rFonts w:ascii="Times New Roman" w:cs="Times New Roman" w:eastAsia="Times New Roman" w:hAnsi="Times New Roman"/>
          <w:sz w:val="20"/>
          <w:szCs w:val="20"/>
          <w:i w:val="1"/>
          <w:iCs w:val="1"/>
          <w:color w:val="auto"/>
        </w:rPr>
        <w:t>Income Tax Assessment Act 1997</w:t>
      </w:r>
      <w:r>
        <w:rPr>
          <w:rFonts w:ascii="Times New Roman" w:cs="Times New Roman" w:eastAsia="Times New Roman" w:hAnsi="Times New Roman"/>
          <w:sz w:val="20"/>
          <w:szCs w:val="20"/>
          <w:color w:val="auto"/>
        </w:rPr>
        <w:t xml:space="preserve"> (Cth)) of Participant’s employer in the employment in respect of which Participant acquired the Restricted Stock Units; or (d) a subsidiary (within the meaning of the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Tax Assessment Act 1997 </w:t>
      </w:r>
      <w:r>
        <w:rPr>
          <w:rFonts w:ascii="Times New Roman" w:cs="Times New Roman" w:eastAsia="Times New Roman" w:hAnsi="Times New Roman"/>
          <w:sz w:val="20"/>
          <w:szCs w:val="20"/>
          <w:color w:val="auto"/>
        </w:rPr>
        <w:t>(Cth) of a holding company (within the meaning of the</w:t>
      </w:r>
      <w:r>
        <w:rPr>
          <w:rFonts w:ascii="Times New Roman" w:cs="Times New Roman" w:eastAsia="Times New Roman" w:hAnsi="Times New Roman"/>
          <w:sz w:val="20"/>
          <w:szCs w:val="20"/>
          <w:i w:val="1"/>
          <w:iCs w:val="1"/>
          <w:color w:val="auto"/>
        </w:rPr>
        <w:t xml:space="preserve"> Corporations Act 2001 </w:t>
      </w:r>
      <w:r>
        <w:rPr>
          <w:rFonts w:ascii="Times New Roman" w:cs="Times New Roman" w:eastAsia="Times New Roman" w:hAnsi="Times New Roman"/>
          <w:sz w:val="20"/>
          <w:szCs w:val="20"/>
          <w:color w:val="auto"/>
        </w:rPr>
        <w:t>(Cth)) of Participant’s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employer in the employment in respect of which Participant acquired the Restricted Stock Units.</w:t>
      </w:r>
    </w:p>
    <w:p>
      <w:pPr>
        <w:sectPr>
          <w:pgSz w:w="11900" w:h="16838" w:orient="portrait"/>
          <w:cols w:equalWidth="0" w:num="1">
            <w:col w:w="11420"/>
          </w:cols>
          <w:pgMar w:left="240" w:top="114" w:right="239" w:bottom="0" w:gutter="0" w:footer="0" w:header="0"/>
        </w:sectPr>
      </w:pPr>
    </w:p>
    <w:bookmarkStart w:id="91" w:name="page92"/>
    <w:bookmarkEnd w:id="91"/>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Australia Class Order Exemption</w:t>
      </w:r>
      <w:r>
        <w:rPr>
          <w:rFonts w:ascii="Times New Roman" w:cs="Times New Roman" w:eastAsia="Times New Roman" w:hAnsi="Times New Roman"/>
          <w:sz w:val="20"/>
          <w:szCs w:val="20"/>
          <w:color w:val="auto"/>
        </w:rPr>
        <w:t>. The offering of the Plan in Australia is intended to qualify for exemption from the prospectus requirements under a Class Order issued by the Australian Securities and Investments Commission. Participant’s right to purchase Shares is subject to the terms and conditions set forth in the Australia Offer Document, the Plan and the Agreement, including this Exhibit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holds Shares obtained through the Plan outside Austria, Participant may be required to submit reports to the Austrian National Bank as follows: (i) on a quarterly basis if the value of the Shares as of any given quarter meets or exceeds €30,000,000; and (ii) on an annual basis if the value of the Shares as of December 31 meets or exceeds €5,000,000. The quarterly reporting date is as of the last day of the respective quarter; the deadline for filing the quarterly report is the 15th day of the month following the end of the respective quarter. The deadline for filing the annual report is January 31 of the following year.</w:t>
      </w:r>
    </w:p>
    <w:p>
      <w:pPr>
        <w:spacing w:after="0" w:line="181"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In addition, when the Shares are sold or a dividend is received, Participant may be required to comply with certain exchange control obligations if the cash proceeds from the sale are held outside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Times New Roman" w:cs="Times New Roman" w:eastAsia="Times New Roman" w:hAnsi="Times New Roman"/>
          <w:sz w:val="20"/>
          <w:szCs w:val="20"/>
          <w:i w:val="1"/>
          <w:iCs w:val="1"/>
          <w:color w:val="auto"/>
        </w:rPr>
        <w:t>Meldungen SI-Forderungen und/oder SI-Verpflichtungen</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BELGIUM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spacing w:after="0" w:line="17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In accepting the Award, Participant agrees that he or she is (i) making an investment decision, (ii) the Shares will be issued to Participant only if the vesting conditions are met, and (iii) the value of the underlying Shares is not fixed and may increase or decrease in value over the vesting period without compensation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Section 6 of the Agreement shall be deleted in its entirety and replaced with the following language:</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8 and the other provisions of the Agreement. Any Restricted Stock Units that vest in accordance with Section 4 will be settled at the time(s) provided in Section 4, subject to Section 8 and the other provisions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Vesting/Termination</w:t>
      </w:r>
      <w:r>
        <w:rPr>
          <w:rFonts w:ascii="Times New Roman" w:cs="Times New Roman" w:eastAsia="Times New Roman" w:hAnsi="Times New Roman"/>
          <w:sz w:val="20"/>
          <w:szCs w:val="20"/>
          <w:color w:val="auto"/>
        </w:rPr>
        <w:t>. The following provision supplements Section 5 and replaces 24(a) of the Agreement:</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For purposes of the Agreement, in the event Participant ceases his or her employment or service relationship with the Company or Employer (for any reason whatsoever and whether or not later found to be invalid or in breach of local labor laws), Participant’s right to vest in the Restricted Stock Units will terminate as of the date that is the earlier of: (a) the date Participant receives notice of termination of employment from the Company or Employer, or (b) the date Participant is no longer actively employed or actively providing services to the Company or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providing services (including whether Participant may still be considered actively employed or actively providing services while on a leave of absence).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terms and conditions will apply if Participant is a resident of Quebec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The following provision supplements section 25 of the Agreement:</w:t>
      </w:r>
    </w:p>
    <w:p>
      <w:pPr>
        <w:spacing w:after="0" w:line="21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 file.</w:t>
      </w:r>
    </w:p>
    <w:p>
      <w:pPr>
        <w:sectPr>
          <w:pgSz w:w="11900" w:h="16838" w:orient="portrait"/>
          <w:cols w:equalWidth="0" w:num="1">
            <w:col w:w="11420"/>
          </w:cols>
          <w:pgMar w:left="240" w:top="346" w:right="239" w:bottom="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ectPr>
          <w:pgSz w:w="11900" w:h="16838" w:orient="portrait"/>
          <w:cols w:equalWidth="0" w:num="1">
            <w:col w:w="11420"/>
          </w:cols>
          <w:pgMar w:left="240" w:top="346" w:right="239" w:bottom="0" w:gutter="0" w:footer="0" w:header="0"/>
          <w:type w:val="continuous"/>
        </w:sectPr>
      </w:pPr>
    </w:p>
    <w:bookmarkStart w:id="92" w:name="page93"/>
    <w:bookmarkEnd w:id="92"/>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CHINA</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following terms and conditions apply if you are subject to exchange control restrictions and regulations in China, including the requirements imposed by the State Administration of Foreign Exchange (“SAFE”) as determined by the Company in its sole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SAFE Regulations</w:t>
      </w:r>
      <w:r>
        <w:rPr>
          <w:rFonts w:ascii="Times New Roman" w:cs="Times New Roman" w:eastAsia="Times New Roman" w:hAnsi="Times New Roman"/>
          <w:sz w:val="20"/>
          <w:szCs w:val="20"/>
          <w:color w:val="auto"/>
        </w:rPr>
        <w:t>. The grant and vesting of the Restricted Stock Units and Participant’s ability to receive the proceeds from the sale of the Shares and convert the proceeds into local currency shall be contingent upon the Company or its Subsidiary maintaining approval from the SAFE for the related foreign exchange transaction and the maintenance of a SAFE-approved bank account. The receipt of funds by Participant from the sale of the Shares and the conversion of those funds to the local currency must be approved by SAFE. In order to comply with the SAFE regulations, the proceeds from the sale of the Shares must be repatriated into China through a SAFE-approved bank account set up and monitored by the Company or its Subsidiary. Such Participant may contact his or her local Human Resource office for more details about the SAFE approved bank account.</w:t>
      </w:r>
    </w:p>
    <w:p>
      <w:pPr>
        <w:spacing w:after="0" w:line="20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9"/>
          <w:szCs w:val="19"/>
          <w:u w:val="single" w:color="auto"/>
          <w:color w:val="auto"/>
        </w:rPr>
        <w:t>Mandatory Same-Day-Sale of Shares</w:t>
      </w:r>
      <w:r>
        <w:rPr>
          <w:rFonts w:ascii="Times New Roman" w:cs="Times New Roman" w:eastAsia="Times New Roman" w:hAnsi="Times New Roman"/>
          <w:sz w:val="19"/>
          <w:szCs w:val="19"/>
          <w:color w:val="auto"/>
        </w:rPr>
        <w:t>. Notwithstanding any provisions concerning the conversion of Restricted Stock Units and issuance of Shares set forth in this Agreement and the Plan, Shares will not be delivered to Participant when the Restricted Stock Units vest. Rather, the Shares to be issued to Participant under the vesting provisions set forth in the Notice of Grant will be sold immediately on Participant’s behalf through the same-day-sale method. Under the same-day-sale method, a brokerage firm will administer the sale of the Shares. From the sale proceeds, the Company will withhold an amount equal to the applicable taxes, commissions, and fees. The remaining proceeds from the sale of the Shares will be remitted to Participant. As a result of the same-day-sale, actual Shares will not be delivered to Participant when the Restricted Stock Units vest. By accepting the Restricted Stock Units, Participant hereby irrevocably and without further notice appoints the Company as Participant’s agent and authorizes the Company, any Subsidiary, and the brokerage firm to take any and all actions necessary to implement the same-day-sale of Shares described in this paragraph.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Participant acknowledges that pursuant to Article 128 of the Colombian Labor Code, the Plan and related benefits do not constitute a component of Participant’s “salary” for any legal purpose. To this extent,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Investments in assets located outside Colombia (including the Shares) are subject to registration with the Central Bank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if the aggregate value of such investments is U.S.$500,000 or more (as of December 31 of the applicable calendar year). Further, when Shares (or other investments) held abroad are sold, Participant may either choose to keep the resulting sums abroad, or to repatriate them to Colombia. If Participant chooses to repatriate funds to Colombia and has not registered the investment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Participant will need to file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Form No. 5 upon conversion of funds into local currency, which should be duly completed to reflect the nature of the transaction. If Participant has registered the investment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then Participant will need to file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Form No. 4 upon conversion of funds into local currency, which should be duly completed to reflect the nature of the transaction. Participant should obtain proper legal advice in order to ensure compliance with applicable Colombian regulations.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Shares are not and will not be registered with the Colombian registry of publicly traded 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may not be offered to the public in Colombia. Nothing in this document should be construed as the making of a public offer of securities in Colombia.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CZECH REPUBLIC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DENMARK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Danish Stock Option Act</w:t>
      </w:r>
      <w:r>
        <w:rPr>
          <w:rFonts w:ascii="Times New Roman" w:cs="Times New Roman" w:eastAsia="Times New Roman" w:hAnsi="Times New Roman"/>
          <w:sz w:val="20"/>
          <w:szCs w:val="20"/>
          <w:color w:val="auto"/>
        </w:rPr>
        <w:t>. By participating in the Plan, Participant acknowledges that he or she received an Employer Statement translated into Danish, which is being provided to comply with the Danish Stock Option Act. To the extent more favorable to</w:t>
      </w:r>
    </w:p>
    <w:p>
      <w:pPr>
        <w:sectPr>
          <w:pgSz w:w="11900" w:h="16838" w:orient="portrait"/>
          <w:cols w:equalWidth="0" w:num="1">
            <w:col w:w="11420"/>
          </w:cols>
          <w:pgMar w:left="240" w:top="238" w:right="239" w:bottom="0" w:gutter="0" w:footer="0" w:header="0"/>
        </w:sectPr>
      </w:pPr>
    </w:p>
    <w:bookmarkStart w:id="93" w:name="page94"/>
    <w:bookmarkEnd w:id="93"/>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Participant and required to comply with the Stock Option Act, the terms set forth in the Employer Statement will apply to the Participant’s participation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Language Consent</w:t>
      </w:r>
      <w:r>
        <w:rPr>
          <w:rFonts w:ascii="Times New Roman" w:cs="Times New Roman" w:eastAsia="Times New Roman" w:hAnsi="Times New Roman"/>
          <w:sz w:val="20"/>
          <w:szCs w:val="20"/>
          <w:color w:val="auto"/>
        </w:rPr>
        <w:t>. By accepting the Award, Participant confirms having read and understood the Plan and Agreement which were provided in the English language. Participant accepts the terms of those documents accordingly.</w:t>
      </w:r>
    </w:p>
    <w:p>
      <w:pPr>
        <w:spacing w:after="0" w:line="15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Consentement Relatif à la Langue Utilisée</w:t>
      </w:r>
      <w:r>
        <w:rPr>
          <w:rFonts w:ascii="Times New Roman" w:cs="Times New Roman" w:eastAsia="Times New Roman" w:hAnsi="Times New Roman"/>
          <w:sz w:val="20"/>
          <w:szCs w:val="20"/>
          <w:i w:val="1"/>
          <w:iCs w:val="1"/>
          <w:color w:val="auto"/>
        </w:rPr>
        <w:t>. En acceptant l’Attribution, le Participant confirme avoir lu et compris le Plan et le Contrat, qui ont été communiqués en langue anglaise. Le Participant accepte les termes de ces documents en connaissance de cause.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Cross-border payments in excess of €12,500 must be reported monthly to the German Federal Bank. If Participant makes or receives a cross-border payment in excess of €12,500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proceeds from the sale of Shares acquired under the Plan), he or she must report the payment to the German Federal Bank electronically using the “General Statistics Reporting Portal” available via the Bank’s website (</w:t>
      </w:r>
      <w:r>
        <w:rPr>
          <w:rFonts w:ascii="Times New Roman" w:cs="Times New Roman" w:eastAsia="Times New Roman" w:hAnsi="Times New Roman"/>
          <w:sz w:val="20"/>
          <w:szCs w:val="20"/>
          <w:u w:val="single" w:color="auto"/>
          <w:color w:val="auto"/>
        </w:rPr>
        <w:t>www.bundesbank.de</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GREECE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60"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9"/>
          <w:szCs w:val="19"/>
          <w:u w:val="single" w:color="auto"/>
          <w:color w:val="auto"/>
        </w:rPr>
        <w:t>Nature of Scheme</w:t>
      </w:r>
      <w:r>
        <w:rPr>
          <w:rFonts w:ascii="Times New Roman" w:cs="Times New Roman" w:eastAsia="Times New Roman" w:hAnsi="Times New Roman"/>
          <w:sz w:val="19"/>
          <w:szCs w:val="19"/>
          <w:color w:val="auto"/>
        </w:rPr>
        <w:t>. Participant acknowledges that the Company specifically intends that the Plan will not be an occupational retirement scheme for purposes of the Occupational Retirement Schemes Ordinance (“ORSO”). Notwithstanding the foregoing, if the Plan is deemed to constitute an occupational retirement scheme for purposes of ORSO, the Restricted Stock Units granted shall be void.</w:t>
      </w:r>
    </w:p>
    <w:p>
      <w:pPr>
        <w:spacing w:after="0" w:line="157"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Securities Law Compliance</w:t>
      </w:r>
      <w:r>
        <w:rPr>
          <w:rFonts w:ascii="Times New Roman" w:cs="Times New Roman" w:eastAsia="Times New Roman" w:hAnsi="Times New Roman"/>
          <w:sz w:val="20"/>
          <w:szCs w:val="20"/>
          <w:color w:val="auto"/>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u w:val="single" w:color="auto"/>
          <w:color w:val="auto"/>
        </w:rPr>
        <w:t>Securities Law Notification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WARNING: The contents of this Agreement and the Plan have not been reviewed by any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authority in Hong Kong. Participant is advised to exercise caution in relation to the Award. If Participant is in any doubt about any of the contents of this Agreement or the Plan, Participant should obtain independent professional advice.</w:t>
      </w:r>
    </w:p>
    <w:p>
      <w:pPr>
        <w:spacing w:after="0" w:line="16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i w:val="1"/>
          <w:iCs w:val="1"/>
          <w:color w:val="auto"/>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i w:val="1"/>
          <w:iCs w:val="1"/>
          <w:color w:val="auto"/>
        </w:rPr>
        <w:t>This Agreement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HUNGARY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should consult with Participant’s personal advisor to ensure compliance with applicable exchange control regulations in Iceland as such regulations are subject to frequent change. Participant is responsible for ensuring</w:t>
      </w:r>
    </w:p>
    <w:p>
      <w:pPr>
        <w:sectPr>
          <w:pgSz w:w="11900" w:h="16838" w:orient="portrait"/>
          <w:cols w:equalWidth="0" w:num="1">
            <w:col w:w="11420"/>
          </w:cols>
          <w:pgMar w:left="240" w:top="118" w:right="239" w:bottom="0" w:gutter="0" w:footer="0" w:header="0"/>
        </w:sectPr>
      </w:pPr>
    </w:p>
    <w:bookmarkStart w:id="94" w:name="page95"/>
    <w:bookmarkEnd w:id="94"/>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compliance with all exchange control laws in Iceland.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must repatriate any proceeds from the sale of Shares acquired under the Plan and any cash dividends to India and convert the proceeds into local currency within a reasonable time after receipt (i.e., 90 days from the sale of Shares and 180 days from receipt of dividends).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It is Participant’s responsibility to comply with applicable exchange control laws in India.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INDONESIA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Indonesian residents remit proceeds from the sale of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IRELAND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ISRAEL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Section 1 of the Agreement shall be supplemented to add the following language at the end thereof:</w:t>
      </w:r>
    </w:p>
    <w:p>
      <w:pPr>
        <w:spacing w:after="0" w:line="21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spacing w:after="0" w:line="181"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102 Compliance</w:t>
      </w:r>
      <w:r>
        <w:rPr>
          <w:rFonts w:ascii="Times New Roman" w:cs="Times New Roman" w:eastAsia="Times New Roman" w:hAnsi="Times New Roman"/>
          <w:sz w:val="20"/>
          <w:szCs w:val="20"/>
          <w:color w:val="auto"/>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and (c)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color w:val="auto"/>
        </w:rPr>
        <w:t>. Section 6 of the Agreement shall be deleted in its entirety and replaced by the following language:</w:t>
      </w:r>
    </w:p>
    <w:p>
      <w:pPr>
        <w:spacing w:after="0" w:line="21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Section 8 of the Agreement shall be supplemented by the following language:</w:t>
      </w:r>
    </w:p>
    <w:p>
      <w:pPr>
        <w:spacing w:after="0" w:line="21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9"/>
          <w:szCs w:val="19"/>
          <w:color w:val="auto"/>
        </w:rPr>
        <w:t>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w:t>
      </w:r>
    </w:p>
    <w:p>
      <w:pPr>
        <w:spacing w:after="0" w:line="174"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sectPr>
          <w:pgSz w:w="11900" w:h="16870" w:orient="portrait"/>
          <w:cols w:equalWidth="0" w:num="1">
            <w:col w:w="11420"/>
          </w:cols>
          <w:pgMar w:left="240" w:top="118" w:right="239" w:bottom="0" w:gutter="0" w:footer="0" w:header="0"/>
        </w:sectPr>
      </w:pPr>
    </w:p>
    <w:bookmarkStart w:id="95" w:name="page96"/>
    <w:bookmarkEnd w:id="95"/>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Participant further agrees that the Trustee may act on behalf of the Company or the Employer, as applicable, to satisfy any obligation to withhold Tax-Related Items applicable to Participant in connection with the Units granted under the Sub-Plan.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Section 11 of the Agreement shall be deleted in its entirety and replaced by the following language:</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 xml:space="preserve">Any notice to be given to the Company under the terms of this Agreement will be addressed to the Company at Autodesk, Inc., c/o Stock Administrator, </w:t>
      </w:r>
      <w:r>
        <w:rPr>
          <w:rFonts w:ascii="Times New Roman" w:cs="Times New Roman" w:eastAsia="Times New Roman" w:hAnsi="Times New Roman"/>
          <w:sz w:val="20"/>
          <w:szCs w:val="20"/>
          <w:b w:val="1"/>
          <w:bCs w:val="1"/>
          <w:color w:val="auto"/>
        </w:rPr>
        <w:t>111 McInnis Parkway, San Rafael, CA 94903</w:t>
      </w:r>
      <w:r>
        <w:rPr>
          <w:rFonts w:ascii="Times New Roman" w:cs="Times New Roman" w:eastAsia="Times New Roman" w:hAnsi="Times New Roman"/>
          <w:sz w:val="20"/>
          <w:szCs w:val="20"/>
          <w:color w:val="auto"/>
        </w:rPr>
        <w:t>, or at such other address as the Company may hereafter designate in writing, unless otherwise expressly instructed by the Company or the Trustee with respect to a specific type of notice.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Section 25 of the Agreement shall be supplemented by the following language:</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Without derogating from the scope of Section 25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following provision replaces Section 25 of the Agreement:</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other entitlement to Shares granted, canceled, exercised, vested, unvested or outstanding in Participant’s favor (“Data”), for the exclusive purpose of implementing, managing and administering the Plan.</w:t>
      </w:r>
    </w:p>
    <w:p>
      <w:pPr>
        <w:spacing w:after="0" w:line="17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also understands that providing the Company with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Autodesk, Inc., with registered offices at 111 McInnis Parkway, San Rafael, CA 94903, USA, and, pursuant to Legislative Decree no. 196/2003, its representative is the Employer in Italy.</w:t>
      </w:r>
    </w:p>
    <w:p>
      <w:pPr>
        <w:spacing w:after="0" w:line="17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Participant further understands that the Company and any Parent or Subsidiary will transfer Data amongst themselves as necessary for the purpose of implementation, administration and management of Participant’s participation in the Plan, and that the Company and any Parent or Subsidiary may each further transfer Data to third parties assisting the Company in the implementation, administration and management of the Plan, including any requisite transfer to a broker or another third party with whom Participant may elect to deposit any Shares acquired under the Plan. Such recipients may receive, possess, use, retain and transfer the Data in electronic or other form, for the purposes of implementing, administering and managing Participant’s participation in the Plan. Participant understands that these recipients may be located in the European Economic Area, or elsewhere, such as the U.S. Should the Company exercise its discretion in suspending all necessary legal obligations connected with the management and administration of the Plan, it will delete Data as soon as it has accomplished all the necessary legal obligations connected with the management and administration of the Plan.</w:t>
      </w:r>
    </w:p>
    <w:p>
      <w:pPr>
        <w:spacing w:after="0" w:line="18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6"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processing activity, including communication, the transfer of Data abroad, including outside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has the right to, including but not limited to, access, delete, update, correct or terminate, for legitimate reason, the Data processing. Furthermore, Participant is aware that Data will not be used for direct marketing purposes. In addition, Data provided can be reviewed and questions or complaints can be addressed by contacting Participant’s local human resources representative.</w:t>
      </w:r>
    </w:p>
    <w:p>
      <w:pPr>
        <w:spacing w:after="0" w:line="18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Plan Document Acknowledgement</w:t>
      </w:r>
      <w:r>
        <w:rPr>
          <w:rFonts w:ascii="Times New Roman" w:cs="Times New Roman" w:eastAsia="Times New Roman" w:hAnsi="Times New Roman"/>
          <w:sz w:val="20"/>
          <w:szCs w:val="20"/>
          <w:color w:val="auto"/>
        </w:rPr>
        <w:t>.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w:t>
      </w:r>
    </w:p>
    <w:p>
      <w:pPr>
        <w:spacing w:after="0" w:line="175"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Participant further acknowledges having read and specifically approves the following sections of the Agreement: Section 3 (Vesting Schedule), Section 5 (Forfeiture upon Termination of Service as a an Employee), Section 7 (Disability or Death of Participant), Section 8 (Responsibility for Taxes), Section 24 (Nature of Grant), Section 14 (Additional Conditions to Issuance of Stock), Section 17 (Electronic Delivery), Section 22 (Governing Law), Section 23 (Language), Section 30 (Insider Trading Restrictions/Market Abuse Laws), and the Section 25 (Data Privacy) provision set forth above in this Exhibit B.</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JAPAN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KOREA</w:t>
      </w:r>
    </w:p>
    <w:p>
      <w:pPr>
        <w:sectPr>
          <w:pgSz w:w="11900" w:h="16838" w:orient="portrait"/>
          <w:cols w:equalWidth="0" w:num="1">
            <w:col w:w="11420"/>
          </w:cols>
          <w:pgMar w:left="240" w:top="279" w:right="239" w:bottom="0" w:gutter="0" w:footer="0" w:header="0"/>
        </w:sectPr>
      </w:pPr>
    </w:p>
    <w:bookmarkStart w:id="96" w:name="page97"/>
    <w:bookmarkEnd w:id="96"/>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Exchange control laws require Korean residents who realize US$500,000 or more from the sale of Shares in a single transaction to repatriate the proceeds to Korea within three years of the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MALAYSIA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This provision replaces Section 25 of the Agreement in its entirety:</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i w:val="1"/>
          <w:iCs w:val="1"/>
          <w:color w:val="auto"/>
        </w:rPr>
        <w:t>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w:t>
      </w:r>
    </w:p>
    <w:p>
      <w:pPr>
        <w:spacing w:after="0" w:line="17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i w:val="1"/>
          <w:iCs w:val="1"/>
          <w:color w:val="auto"/>
        </w:rPr>
        <w:t>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i w:val="1"/>
          <w:iCs w:val="1"/>
          <w:color w:val="auto"/>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 hrgc.apac@autodesk.com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w:t>
      </w:r>
    </w:p>
    <w:p>
      <w:pPr>
        <w:spacing w:after="0" w:line="192" w:lineRule="exact"/>
        <w:rPr>
          <w:sz w:val="20"/>
          <w:szCs w:val="20"/>
          <w:color w:val="auto"/>
        </w:rPr>
      </w:pPr>
    </w:p>
    <w:p>
      <w:pPr>
        <w:ind w:left="660" w:right="3340"/>
        <w:spacing w:after="0" w:line="269" w:lineRule="auto"/>
        <w:rPr>
          <w:sz w:val="20"/>
          <w:szCs w:val="20"/>
          <w:color w:val="auto"/>
        </w:rPr>
      </w:pPr>
      <w:r>
        <w:rPr>
          <w:rFonts w:ascii="Times New Roman" w:cs="Times New Roman" w:eastAsia="Times New Roman" w:hAnsi="Times New Roman"/>
          <w:sz w:val="20"/>
          <w:szCs w:val="20"/>
          <w:u w:val="single" w:color="auto"/>
          <w:color w:val="auto"/>
        </w:rPr>
        <w:t>Notifikasi Privasi Data</w:t>
      </w:r>
      <w:r>
        <w:rPr>
          <w:rFonts w:ascii="Times New Roman" w:cs="Times New Roman" w:eastAsia="Times New Roman" w:hAnsi="Times New Roman"/>
          <w:sz w:val="20"/>
          <w:szCs w:val="20"/>
          <w:color w:val="auto"/>
        </w:rPr>
        <w:t>. Peruntukan ini menggantikan Seksyen 25 dalam Perjanjian Anugerah secara keseluruhan :</w:t>
      </w:r>
    </w:p>
    <w:p>
      <w:pPr>
        <w:spacing w:after="0" w:line="169"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9"/>
          <w:szCs w:val="19"/>
          <w:i w:val="1"/>
          <w:iCs w:val="1"/>
          <w:color w:val="auto"/>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spacing w:after="0" w:line="16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9"/>
          <w:szCs w:val="19"/>
          <w:i w:val="1"/>
          <w:iCs w:val="1"/>
          <w:color w:val="auto"/>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w:t>
      </w:r>
    </w:p>
    <w:p>
      <w:pPr>
        <w:sectPr>
          <w:pgSz w:w="11900" w:h="16878" w:orient="portrait"/>
          <w:cols w:equalWidth="0" w:num="1">
            <w:col w:w="11420"/>
          </w:cols>
          <w:pgMar w:left="240" w:top="221" w:right="239" w:bottom="0" w:gutter="0" w:footer="0" w:header="0"/>
        </w:sectPr>
      </w:pPr>
    </w:p>
    <w:bookmarkStart w:id="97" w:name="page98"/>
    <w:bookmarkEnd w:id="97"/>
    <w:p>
      <w:pPr>
        <w:jc w:val="both"/>
        <w:ind w:left="660"/>
        <w:spacing w:after="0" w:line="256" w:lineRule="auto"/>
        <w:rPr>
          <w:sz w:val="20"/>
          <w:szCs w:val="20"/>
          <w:color w:val="auto"/>
        </w:rPr>
      </w:pPr>
      <w:r>
        <w:rPr>
          <w:rFonts w:ascii="Times New Roman" w:cs="Times New Roman" w:eastAsia="Times New Roman" w:hAnsi="Times New Roman"/>
          <w:sz w:val="19"/>
          <w:szCs w:val="19"/>
          <w:i w:val="1"/>
          <w:iCs w:val="1"/>
          <w:color w:val="auto"/>
        </w:rPr>
        <w:t>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 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u w:val="single" w:color="auto"/>
          <w:color w:val="auto"/>
        </w:rPr>
        <w:t>Director Notification Obligation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14 days of receiving or disposing of any interest in the Company or any related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Plan Document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By accepting the Restricted Stock Units, Participant acknowledges that he or she has received a copy of the Plan and the Agreement, including this Exhibit B, which he or she has reviewed. Participant further acknowledges that he or she accepts all the provisions of the Plan and the Agreement, including this Exhibit B. Participant also acknowledges that he or she has read and specifically and expressly approves the terms and conditions set forth in the “Nature of Grant” Section of the Agreement, which clearly provide as follows:</w:t>
      </w:r>
    </w:p>
    <w:p>
      <w:pPr>
        <w:spacing w:after="0" w:line="166"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does not constitute an acquired right;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Participant’s participation in it are offered by the Company on a wholly discretionary basis; 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is voluntary.</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Labor Law Acknowledgement and Policy Statement</w:t>
      </w:r>
      <w:r>
        <w:rPr>
          <w:rFonts w:ascii="Times New Roman" w:cs="Times New Roman" w:eastAsia="Times New Roman" w:hAnsi="Times New Roman"/>
          <w:sz w:val="20"/>
          <w:szCs w:val="20"/>
          <w:color w:val="auto"/>
        </w:rPr>
        <w:t>. By accepting the Restricted Stock Units, Participant acknowledges that Autodesk, Inc., with registered offices at 111 McInnis Parkway, San Rafael, CA 94903 U.S.A., is solely responsible for the administration of the Plan. Participant further acknowledges that his or her participation in the Plan, the grant of the Restricted Stock Units and any acquisition of Shares under the Plan do not constitute an employment relationship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pacing w:after="0" w:line="17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Documento de Reconocimiento del Plan</w:t>
      </w:r>
      <w:r>
        <w:rPr>
          <w:rFonts w:ascii="Times New Roman" w:cs="Times New Roman" w:eastAsia="Times New Roman" w:hAnsi="Times New Roman"/>
          <w:sz w:val="20"/>
          <w:szCs w:val="20"/>
          <w:i w:val="1"/>
          <w:iCs w:val="1"/>
          <w:color w:val="auto"/>
        </w:rPr>
        <w:t>. Esta disposición suplementa la Sección 24 del Contrato:</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w:t>
      </w:r>
    </w:p>
    <w:p>
      <w:pPr>
        <w:spacing w:after="0" w:line="176"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participación del Participante en el Plan no constituye un derecho adquirido;</w:t>
      </w:r>
    </w:p>
    <w:p>
      <w:pPr>
        <w:spacing w:after="0" w:line="215" w:lineRule="exact"/>
        <w:rPr>
          <w:rFonts w:ascii="Times New Roman" w:cs="Times New Roman" w:eastAsia="Times New Roman" w:hAnsi="Times New Roman"/>
          <w:sz w:val="20"/>
          <w:szCs w:val="20"/>
          <w:i w:val="1"/>
          <w:iCs w:val="1"/>
          <w:color w:val="auto"/>
        </w:rPr>
      </w:pPr>
    </w:p>
    <w:p>
      <w:pPr>
        <w:ind w:left="1080" w:hanging="424"/>
        <w:spacing w:after="0"/>
        <w:tabs>
          <w:tab w:leader="none" w:pos="1080" w:val="left"/>
        </w:tabs>
        <w:numPr>
          <w:ilvl w:val="0"/>
          <w:numId w:val="8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El Plan y la participación del Participante en el Plan se ofrecen por la Compañía de manera totalmente discrecional; y</w:t>
      </w:r>
    </w:p>
    <w:p>
      <w:pPr>
        <w:sectPr>
          <w:pgSz w:w="11900" w:h="16838" w:orient="portrait"/>
          <w:cols w:equalWidth="0" w:num="1">
            <w:col w:w="11420"/>
          </w:cols>
          <w:pgMar w:left="240" w:top="114" w:right="239" w:bottom="0" w:gutter="0" w:footer="0" w:header="0"/>
        </w:sectPr>
      </w:pPr>
    </w:p>
    <w:p>
      <w:pPr>
        <w:spacing w:after="0" w:line="21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i w:val="1"/>
          <w:iCs w:val="1"/>
          <w:color w:val="auto"/>
        </w:rPr>
        <w:t>(3)</w:t>
      </w:r>
      <w:r>
        <w:rPr>
          <w:sz w:val="20"/>
          <w:szCs w:val="20"/>
          <w:color w:val="auto"/>
        </w:rPr>
        <w:tab/>
      </w:r>
      <w:r>
        <w:rPr>
          <w:rFonts w:ascii="Times New Roman" w:cs="Times New Roman" w:eastAsia="Times New Roman" w:hAnsi="Times New Roman"/>
          <w:sz w:val="19"/>
          <w:szCs w:val="19"/>
          <w:i w:val="1"/>
          <w:iCs w:val="1"/>
          <w:color w:val="auto"/>
        </w:rPr>
        <w:t>La participación del Participante en el Plan es voluntaria.</w:t>
      </w:r>
    </w:p>
    <w:p>
      <w:pPr>
        <w:sectPr>
          <w:pgSz w:w="11900" w:h="16838" w:orient="portrait"/>
          <w:cols w:equalWidth="0" w:num="1">
            <w:col w:w="11420"/>
          </w:cols>
          <w:pgMar w:left="240" w:top="114" w:right="239" w:bottom="0" w:gutter="0" w:footer="0" w:header="0"/>
          <w:type w:val="continuous"/>
        </w:sectPr>
      </w:pPr>
    </w:p>
    <w:bookmarkStart w:id="98" w:name="page99"/>
    <w:bookmarkEnd w:id="98"/>
    <w:p>
      <w:pPr>
        <w:jc w:val="both"/>
        <w:ind w:left="66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Reconocimiento de Ley Laboral y Declaración de Política</w:t>
      </w:r>
      <w:r>
        <w:rPr>
          <w:rFonts w:ascii="Times New Roman" w:cs="Times New Roman" w:eastAsia="Times New Roman" w:hAnsi="Times New Roman"/>
          <w:sz w:val="20"/>
          <w:szCs w:val="20"/>
          <w:i w:val="1"/>
          <w:iCs w:val="1"/>
          <w:color w:val="auto"/>
        </w:rPr>
        <w:t>. Al aceptar las Unidades de Acción Restringida, el Participante reconoce que Autodesk, Inc., con oficinas registradas en 111 McInnis Parkway, San Rafael, CA 94903,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i w:val="1"/>
          <w:iCs w:val="1"/>
          <w:color w:val="auto"/>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spacing w:after="0" w:line="169"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ZEALAND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NORWAY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PHILIPPINES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Participant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a Polish resident transfers funds in excess of €15,000 into Poland, the funds must be transferred via a Polish bank account or financial institution. Polish residents are required to retain the documents connected with a foreign exchange transaction for a period of five years, as measured from the end of the year in which such transaction occurred.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English Language Consent</w:t>
      </w:r>
      <w:r>
        <w:rPr>
          <w:rFonts w:ascii="Times New Roman" w:cs="Times New Roman" w:eastAsia="Times New Roman" w:hAnsi="Times New Roman"/>
          <w:sz w:val="20"/>
          <w:szCs w:val="20"/>
          <w:color w:val="auto"/>
        </w:rPr>
        <w:t>. Participant hereby expressly declares that Participant has full knowledge of the English language and have read, understood and fully accept and agree with the terms and conditions established in the Plan and the Agreement.</w:t>
      </w:r>
    </w:p>
    <w:p>
      <w:pPr>
        <w:spacing w:after="0" w:line="15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Consentimento de Lingua Inglesa</w:t>
      </w:r>
      <w:r>
        <w:rPr>
          <w:rFonts w:ascii="Times New Roman" w:cs="Times New Roman" w:eastAsia="Times New Roman" w:hAnsi="Times New Roman"/>
          <w:sz w:val="20"/>
          <w:szCs w:val="20"/>
          <w:i w:val="1"/>
          <w:iCs w:val="1"/>
          <w:color w:val="auto"/>
        </w:rPr>
        <w:t>. O beneficiário pelo presente declara expressamente que tem pleno conhecimento da língua Inglesa e que leu, compreendeu e totalmente aceitou e concordou com os termos e condições estabelecidas no Plano e no Acordo.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is a resident of Portugal and acquires Shares under the Plan, Participant may be required to file a report with the Portuguese Central Bank for statistical purposes (unless Participant arranges to have the Shares deposited with a Portuguese financial intermediary, in which case the intermediary will file the report for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QATAR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ROMANIA</w:t>
      </w:r>
    </w:p>
    <w:p>
      <w:pPr>
        <w:sectPr>
          <w:pgSz w:w="11900" w:h="16838" w:orient="portrait"/>
          <w:cols w:equalWidth="0" w:num="1">
            <w:col w:w="11420"/>
          </w:cols>
          <w:pgMar w:left="240" w:top="114" w:right="239" w:bottom="195"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ectPr>
          <w:pgSz w:w="11900" w:h="16838" w:orient="portrait"/>
          <w:cols w:equalWidth="0" w:num="1">
            <w:col w:w="11420"/>
          </w:cols>
          <w:pgMar w:left="240" w:top="114" w:right="239" w:bottom="195" w:gutter="0" w:footer="0" w:header="0"/>
          <w:type w:val="continuous"/>
        </w:sectPr>
      </w:pPr>
    </w:p>
    <w:bookmarkStart w:id="99" w:name="page100"/>
    <w:bookmarkEnd w:id="99"/>
    <w:p>
      <w:pPr>
        <w:spacing w:after="0" w:line="64"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Romanian residents are required to deposit proceeds from the sale of Shares in a bank account in Romania and may be required to provide the Romanian bank with appropriate documentation explaining the source of the funds. Romanian residents should consult their personal advisor to determine whether they will be required to submit such documentation to the Romanian bank.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6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w:t>
      </w:r>
    </w:p>
    <w:p>
      <w:pPr>
        <w:spacing w:after="0" w:line="187"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9"/>
          <w:szCs w:val="19"/>
          <w:u w:val="single" w:color="auto"/>
          <w:color w:val="auto"/>
        </w:rPr>
        <w:t>Chief Executive Officer and Director Notification Obligation</w:t>
      </w:r>
      <w:r>
        <w:rPr>
          <w:rFonts w:ascii="Times New Roman" w:cs="Times New Roman" w:eastAsia="Times New Roman" w:hAnsi="Times New Roman"/>
          <w:sz w:val="19"/>
          <w:szCs w:val="19"/>
          <w:color w:val="auto"/>
        </w:rPr>
        <w:t>. If Participant is the Chief Executive Officer (“CEO”) or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 Subsidiary or related entity. In addition, a notification must be made of Participant’s interests in the Company or any Subsidiary or related entity within two (2) business days of becoming the CEO or a director, associate director or shadow director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For purposes of the Award, a termination of employment includes any termination that is deemed an “unfair dismissal” or a “constructive dismissal.”</w:t>
      </w:r>
    </w:p>
    <w:p>
      <w:pPr>
        <w:spacing w:after="0" w:line="16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As a condition of receipt of the Award, Participant acknowledges that he or she understands and agrees to participation in the Plan and that he or she has received a copy of the Plan.</w:t>
      </w:r>
    </w:p>
    <w:p>
      <w:pPr>
        <w:spacing w:after="0" w:line="16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any grant is given on the assumption and condition that it shall not become a part of any employment contract (either with the Company or any of its Subsidiaries) and shall not be considered a mandatory benefit, salary for any purposes (including severance compensation) or any other right whatsoever.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w:t>
      </w:r>
    </w:p>
    <w:p>
      <w:pPr>
        <w:spacing w:after="0" w:line="19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Furthermore, Participant understands that the Award is a conditional right. Except as determined by the Committee or as provided in the Agreement, Participant shall forfeit any unvested Award upon termination of employment. The terms of this provision apply even if Participant is considered to be unfairly dismissed without good cause (i.e.,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xml:space="preserve">. Participant must declare the acquisition and sale of Shares to the </w:t>
      </w:r>
      <w:r>
        <w:rPr>
          <w:rFonts w:ascii="Times New Roman" w:cs="Times New Roman" w:eastAsia="Times New Roman" w:hAnsi="Times New Roman"/>
          <w:sz w:val="20"/>
          <w:szCs w:val="20"/>
          <w:i w:val="1"/>
          <w:iCs w:val="1"/>
          <w:color w:val="auto"/>
        </w:rPr>
        <w:t>Dirección General de Comercio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Inversiones </w:t>
      </w:r>
      <w:r>
        <w:rPr>
          <w:rFonts w:ascii="Times New Roman" w:cs="Times New Roman" w:eastAsia="Times New Roman" w:hAnsi="Times New Roman"/>
          <w:sz w:val="20"/>
          <w:szCs w:val="20"/>
          <w:color w:val="auto"/>
        </w:rPr>
        <w:t>(“DGCI”) for statistical purposes. Participant also must declare the ownership of any Shares with the DGCI each January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while the Shares are owned, unless the amount of Shares acquired or sold exceeds the applicable threshold (currently €1,502,530), or Participant holds 10% or more of the share capital of the Company or other such amount that would entitle Participant to join the Board, in which case the filing is due within one month after the sale.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When receiving foreign currency payments derived from the ownership of Shares (i.e., dividends or sale proceeds) in excess of €50,000, Participant must inform the financial institution receiving the payment of the basis upon which such payment is made. Participant will need to provide the following information: (i) Participant’s name, address, and fiscal identification number; (ii) the</w:t>
      </w:r>
    </w:p>
    <w:p>
      <w:pPr>
        <w:sectPr>
          <w:pgSz w:w="11900" w:h="16902" w:orient="portrait"/>
          <w:cols w:equalWidth="0" w:num="1">
            <w:col w:w="11420"/>
          </w:cols>
          <w:pgMar w:left="240" w:top="118" w:right="239" w:bottom="0" w:gutter="0" w:footer="0" w:header="0"/>
        </w:sectPr>
      </w:pPr>
    </w:p>
    <w:bookmarkStart w:id="100" w:name="page101"/>
    <w:bookmarkEnd w:id="100"/>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name and corporate domicile of the Company; (iii) the amount of the payment and the currency used; (iv) the country of origin; (v) the reasons for the payment; and (vi) further information that may be required.</w:t>
      </w:r>
    </w:p>
    <w:p>
      <w:pPr>
        <w:spacing w:after="0" w:line="16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No “offer of securities to the public,” as defined under Spanish law, has taken place or will take place in the Spanish territory in connection with the Award. The Agreement has not been nor will it be registered with the </w:t>
      </w:r>
      <w:r>
        <w:rPr>
          <w:rFonts w:ascii="Times New Roman" w:cs="Times New Roman" w:eastAsia="Times New Roman" w:hAnsi="Times New Roman"/>
          <w:sz w:val="20"/>
          <w:szCs w:val="20"/>
          <w:i w:val="1"/>
          <w:iCs w:val="1"/>
          <w:color w:val="auto"/>
        </w:rPr>
        <w:t>Comisión Nacional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del Mercado de Valores</w:t>
      </w:r>
      <w:r>
        <w:rPr>
          <w:rFonts w:ascii="Times New Roman" w:cs="Times New Roman" w:eastAsia="Times New Roman" w:hAnsi="Times New Roman"/>
          <w:sz w:val="20"/>
          <w:szCs w:val="20"/>
          <w:color w:val="auto"/>
        </w:rPr>
        <w:t>, and does not constitute a public offering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Participant acknowledges and agrees to consent to the handling registration and publication of personal data according to the Swedish Personal Data Act, if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SWITZERLAND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grant of Restricted Stock Units and the issuance of any Shares is not intended to be a public offering in Switzerland and is therefore not subject to registration in Switzerland. Neither this document nor any other materials relating to the grant of Restricted Stock Units constitutes a prospectus as such term is understood pursuant to article 652a of the Swiss Code of Obligations, and neither this document nor any other materials relating to the Restricted Stock Units may be publicly distributed nor otherwise made publicly available in Switzerland.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The offer of participation in the Plan is available only for Employees. The offer of participation in the Plan is not a public offer of securities by a Taiwanese company.</w:t>
      </w:r>
    </w:p>
    <w:p>
      <w:pPr>
        <w:spacing w:after="0" w:line="16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Taiwanese residents may acquire and remit foreign currency (including funds to purchase or proceeds from the sale of Shares) into and out of Taiwan up to US $5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THAILAND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realizes US$50,000 or more in a single transaction from the sale of Shares or the payment of dividends, he or she is required to repatriate the funds to Thailand immediately following the receipt of the funds and to then either convert such repatriated funds into Thai Baht or deposit the funds into a foreign currency account opened with any commercial bank in Thailand within 360 days of repatriation. Further, for repatriated funds of US$50,000 or more, Participant must specifically report the inward remittance to the Bank of Thailand on a Foreign Exchange Transaction Form. Participant is personally responsible for complying with exchange control restrictions in Thailand.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TURKEY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spacing w:after="0" w:line="175"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UNITED ARAB EMIRATES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This Restricted Stock Unit Award has not been approved or licensed by the United Arab Emirates (“UAE”) Central Bank or any other relevant licensing authorities or governmental agencies in the UAE. This Restricted Stock Unit Award is strictly private and confidential and has not been reviewed by, deposited or registered with the UAE Central Bank or any other licensing authority or governmental agencies in the United Arab Emirates. This Award is being issued from outside the United Arab Emirates to a limited number of Employees of Autodesk Middle East (Representative Office) and must not be provided to any person other than the original recipient and may not be reproduced or used for any other purpose.</w:t>
      </w:r>
    </w:p>
    <w:p>
      <w:pPr>
        <w:sectPr>
          <w:pgSz w:w="11900" w:h="16838" w:orient="portrait"/>
          <w:cols w:equalWidth="0" w:num="1">
            <w:col w:w="11420"/>
          </w:cols>
          <w:pgMar w:left="240" w:top="118" w:right="239" w:bottom="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contained in the Plan or anything to the contrary in the Agreement, the Restricted Stock Units are payable only in Shares.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The following provisions supplement Section 8 of the Agreement:</w:t>
      </w:r>
    </w:p>
    <w:p>
      <w:pPr>
        <w:spacing w:after="0" w:line="2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If payment or withholding of any income tax that the Company or the Employer may be required to account to Her Majesty’s Revenue and Customs (“HMRC”) is not made within 90 days of the end of the tax year during which the event giving rise to the liability occurs (the “Due Date”), or such other period specified in Section 222(1)(c) of the U.K. Income Tax (Earnings and Pensions) Act 2003, the amount of any uncollected income tax will constitute a loan owed by Participant to the Employer, effective on the Due Date. Participant agrees that the loan will bear interest at the then-current Official Rate of HMRC, it will be immediately due and repayable, and the Company or the Employer may recover it at any time thereafter by any of the means referred to in Section 7 of the Agreement. Notwithstanding the foregoing, if Participant is a director or executive officer of the Company (within the meaning of Section 13(k) of the Exchange Act), Participant will not be eligible for such a loan to cover the tax liability. In the event that Participant is a director or executive officer and any income tax is not collected from or paid by Participant by the Due Date, the amount of any uncollected income tax may constitute a benefit to Participant on which additional income tax and National Insurance contributions (“NICs”) may be payable. Participant will be responsible for reporting and paying any income tax due on this additional benefit directly to HMRC under the self-assessment regime and reimbursing the Employer for the value of the NICs due on this additional benefit. If Participant fails to comply with his or her obligations in connection with the income tax as described in this section, the Company may refuse to deliver the Shares to Participant, without any liability to the Company or the Employer.</w:t>
      </w:r>
    </w:p>
    <w:p>
      <w:pPr>
        <w:spacing w:after="0" w:line="19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addition, Participant agrees that the Company and/or the Employer may calculate the Tax-Related Items to be withheld and accounted for by reference to the maximum applicable rates, without prejudice to any right Participant may have to recover any overpayment from the relevant tax authorities.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234" w:right="239" w:bottom="1440" w:gutter="0" w:footer="0" w:header="0"/>
        </w:sectPr>
      </w:pPr>
    </w:p>
    <w:bookmarkStart w:id="102" w:name="page103"/>
    <w:bookmarkEnd w:id="102"/>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AUTODESK,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EMPLOYEE STOCK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(Settled in Shares)</w:t>
      </w:r>
    </w:p>
    <w:p>
      <w:pPr>
        <w:spacing w:after="0" w:line="220" w:lineRule="exact"/>
        <w:rPr>
          <w:sz w:val="20"/>
          <w:szCs w:val="20"/>
          <w:color w:val="auto"/>
        </w:rPr>
      </w:pPr>
    </w:p>
    <w:p>
      <w:pPr>
        <w:jc w:val="both"/>
        <w:ind w:firstLine="656"/>
        <w:spacing w:after="0" w:line="244" w:lineRule="auto"/>
        <w:tabs>
          <w:tab w:leader="none" w:pos="103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Employee (“Participant”) named in the Notice of Grant of Restricted Stock Units (the “Notice of Grant”) under the Autodesk, Inc. 2012 Employee Stock Plan (the “Plan”) the number of Restricted Stock Units indicated on the Notice of Grant, subject to all of the terms and conditions in this Agreement (as defined 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spacing w:after="0" w:line="186" w:lineRule="exact"/>
        <w:rPr>
          <w:rFonts w:ascii="Times New Roman" w:cs="Times New Roman" w:eastAsia="Times New Roman" w:hAnsi="Times New Roman"/>
          <w:sz w:val="20"/>
          <w:szCs w:val="20"/>
          <w:color w:val="auto"/>
        </w:rPr>
      </w:pPr>
    </w:p>
    <w:p>
      <w:pPr>
        <w:jc w:val="both"/>
        <w:ind w:firstLine="656"/>
        <w:spacing w:after="0" w:line="249" w:lineRule="auto"/>
        <w:tabs>
          <w:tab w:leader="none" w:pos="100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Settle</w:t>
      </w:r>
      <w:r>
        <w:rPr>
          <w:rFonts w:ascii="Times New Roman" w:cs="Times New Roman" w:eastAsia="Times New Roman" w:hAnsi="Times New Roman"/>
          <w:sz w:val="20"/>
          <w:szCs w:val="20"/>
          <w:color w:val="auto"/>
        </w:rPr>
        <w:t>. Unless and until the Restricted Stock Units shall have vested in the manner set forth in Sections 3 or 4 of this Agreement or Section 13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03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of this Agreement and Section 13 of the Plan, and subject to Section 5 of this Agreement, the Restricted Stock Units awarded by this Agreement shall vest in accordance with the vesting provisions set forth in the Notice of Grant.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spacing w:after="0" w:line="180" w:lineRule="exact"/>
        <w:rPr>
          <w:rFonts w:ascii="Times New Roman" w:cs="Times New Roman" w:eastAsia="Times New Roman" w:hAnsi="Times New Roman"/>
          <w:sz w:val="20"/>
          <w:szCs w:val="20"/>
          <w:color w:val="auto"/>
        </w:rPr>
      </w:pPr>
    </w:p>
    <w:p>
      <w:pPr>
        <w:jc w:val="both"/>
        <w:ind w:firstLine="656"/>
        <w:spacing w:after="0" w:line="241" w:lineRule="auto"/>
        <w:tabs>
          <w:tab w:leader="none" w:pos="103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 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 an Employee, then the settlement of such accelerated Restricted Stock Units shall not be made until the earlier of (A) six (6) months and one (1) day following the date of Participant’s termination as an Employee or (B) Participant’s death. It is the intent of this Agreement to comply with or be exempt from the requirements of Section 409A of the Code so that none of the Restricted Stock Units provided under this Agreement or Shares issuable thereunder shall be subject to the additional tax imposed under Section 409A of the Code, and any ambiguities herein shall be interpreted to so comply.</w:t>
      </w:r>
    </w:p>
    <w:p>
      <w:pPr>
        <w:spacing w:after="0" w:line="19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of Status as an Employee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5"/>
        <w:spacing w:after="0" w:line="254" w:lineRule="auto"/>
        <w:tabs>
          <w:tab w:leader="none" w:pos="157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 Section 5(b) and Section 5(c), the balance of the Restricted Stock Units that have not vested as of the time of Participant’s termination as an Employee for any or no reason shall be forfeited and automatically transferred to and reacquired by the Company at no cost to the Company, and Participant’s right to acquire any Shares hereunder shall immediately terminate.</w:t>
      </w:r>
    </w:p>
    <w:p>
      <w:pPr>
        <w:spacing w:after="0" w:line="174" w:lineRule="exact"/>
        <w:rPr>
          <w:rFonts w:ascii="Times New Roman" w:cs="Times New Roman" w:eastAsia="Times New Roman" w:hAnsi="Times New Roman"/>
          <w:sz w:val="20"/>
          <w:szCs w:val="20"/>
          <w:color w:val="auto"/>
        </w:rPr>
      </w:pPr>
    </w:p>
    <w:p>
      <w:pPr>
        <w:jc w:val="both"/>
        <w:ind w:firstLine="1305"/>
        <w:spacing w:after="0" w:line="256" w:lineRule="auto"/>
        <w:tabs>
          <w:tab w:leader="none" w:pos="159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5(a), upon any termination of Participant as an Employee without Cause (for purposes of this Section 5(b) as defined in this Section 5(b)) or by Participant for Good Reason (for purposes of this Section 5(b) as defined in this Section 5(b)) prior to a Change of Control (as defined in Section 5(c)) (i) unvested Restricted Stock Units with vesting schedules subject only to Participant’s continuous service as an Employee (“Time-Based RSUs”) shall fully accelerate and become vested with respect to one hundred percent (100%) of the shares of Company common stock subject thereto and (ii) unvested Restricted Stock Units that are not Time-Based RSUs and that are subject to performance-based vesting (“Performance-Based RSUs”) shall become vested and shall be settled at the time such Performance-Based RSUs are vested and settled generally to other participants holding such awards as if Participant had remained continuously employed by the Company through the vest date (as defined in the Notice of Grant) next following the Participant’s Termination Date, based on the extent, if at all, that the underlying performance criteria with respect to such awards are satisfied for such performance period, and the remainder of such Performance-Based RSUs that do not become vested pursuant to this clause 5(b)(ii), if any, shall be forfeited (including, for the avoidance of doubt, any Performance-Based RSUs for which the performance metrics have not been set as of the Participant’s Termination Date).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purposes of this Section 5(b), “Cause” shall have the following meaning:</w:t>
      </w:r>
    </w:p>
    <w:p>
      <w:pPr>
        <w:spacing w:after="0" w:line="216" w:lineRule="exact"/>
        <w:rPr>
          <w:sz w:val="20"/>
          <w:szCs w:val="20"/>
          <w:color w:val="auto"/>
        </w:rPr>
      </w:pPr>
    </w:p>
    <w:p>
      <w:pPr>
        <w:jc w:val="both"/>
        <w:ind w:left="1300"/>
        <w:spacing w:after="0" w:line="260" w:lineRule="auto"/>
        <w:rPr>
          <w:sz w:val="20"/>
          <w:szCs w:val="20"/>
          <w:color w:val="auto"/>
        </w:rPr>
      </w:pPr>
      <w:r>
        <w:rPr>
          <w:rFonts w:ascii="Times New Roman" w:cs="Times New Roman" w:eastAsia="Times New Roman" w:hAnsi="Times New Roman"/>
          <w:sz w:val="19"/>
          <w:szCs w:val="19"/>
          <w:color w:val="auto"/>
        </w:rPr>
        <w:t>“Cause” means the disinterested members of the Board of Directors (the “Board”) of the Company, on a reasonable and good faith basis, unanimously determine (after reasonable notice is provided to the Participant and the Participant is given an opportunity, together with counsel, to be heard before the Board) that any of the following events or contingencies exists or has occurred: (i) Participant’s engagement in acts of embezzlement, dishonesty or moral turpitude that has a material adverse effect on the Company; (ii) the conviction of Participant for having committed a felony; (iii) a breach by Participant of Participant’s fiduciary duties and responsibilities to the Company that has a material adverse effect on the Company’s business, operations,</w:t>
      </w:r>
    </w:p>
    <w:p>
      <w:pPr>
        <w:sectPr>
          <w:pgSz w:w="11900" w:h="16931" w:orient="portrait"/>
          <w:cols w:equalWidth="0" w:num="1">
            <w:col w:w="11420"/>
          </w:cols>
          <w:pgMar w:left="240" w:top="572" w:right="239" w:bottom="0" w:gutter="0" w:footer="0" w:header="0"/>
        </w:sectPr>
      </w:pPr>
    </w:p>
    <w:bookmarkStart w:id="103" w:name="page104"/>
    <w:bookmarkEnd w:id="103"/>
    <w:p>
      <w:pPr>
        <w:jc w:val="both"/>
        <w:ind w:left="644"/>
        <w:spacing w:after="0" w:line="245" w:lineRule="auto"/>
        <w:rPr>
          <w:sz w:val="20"/>
          <w:szCs w:val="20"/>
          <w:color w:val="auto"/>
        </w:rPr>
      </w:pPr>
      <w:r>
        <w:rPr>
          <w:rFonts w:ascii="Times New Roman" w:cs="Times New Roman" w:eastAsia="Times New Roman" w:hAnsi="Times New Roman"/>
          <w:sz w:val="20"/>
          <w:szCs w:val="20"/>
          <w:color w:val="auto"/>
        </w:rPr>
        <w:t>prospects or reputation; or (iv) gross negligence or bad faith that has a material adverse effect on the Company; provided that if any of the foregoing events is capable of being cured, the Company will provide written notice to Participant describing the nature of such event and Participant will thereafter have thirty (30) days to cure such event. The foregoing shall not be deemed an exclusive list of the acts or omissions that the Company may consider as grounds for the termination of Participant’s employment, but it is an exclusive list of the acts or omissions that shall be considered “Cause” for the termination of Participant’s employment by the Company.</w:t>
      </w:r>
    </w:p>
    <w:p>
      <w:pPr>
        <w:spacing w:after="0" w:line="1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For purposes of this Section 5(b), “Good Reason” shall have the following meaning:</w:t>
      </w:r>
    </w:p>
    <w:p>
      <w:pPr>
        <w:spacing w:after="0" w:line="234"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“Good Reason” means without the Participant’s written consent: (i) the material reduction of any of the Participant’s positions, duties, responsibilities or status adversely inconsistent or diminutive, in comparison with, or having less authority than, the Participant’s positions, duties, responsibilities or status with the Company in effect as of the date hereof as the same may be increased from time to time; (ii) a reduction of the Participant’s total annual target cash compensation (base salary plus annual target bonus) in effect as of the date hereof as the same may be increased from time to time, other than a reduction that is applied to substantially all of the Company’s senior executives and does not exceed 15% of Participant’s total annual target cash compensation; (iii) a reduction of the Participant’s future equity award grant date value as compared to Participant’s equity award grant date value in effect as of the date hereof, (excluding, as applicable, supplemental 2016 retention grants) as the same may be increased from time to time, other than a reduction that does not exceed 20% of Participant’s equity award grant date value; (iv) the requirement that Participant relocate from the Company’s current headquarters or from where the Participant currently is based to a principal place of employment relocated more than thirty (30) miles from his or her current principal place of employment; or (v) any breach by the Company of any provision of this Agreement. Notwithstanding the foregoing, an event described in this Section shall not constitute Good Reason unless it is communicated by the Participant to the Company in writing within ninety (90) days after the initial occurrence of the event and is not corrected by the Company in a manner which is reasonably satisfactory to such Participant (including full retroactive correction with respect to reduction in compensation and benefits) within thirty</w:t>
      </w:r>
    </w:p>
    <w:p>
      <w:pPr>
        <w:spacing w:after="0" w:line="7" w:lineRule="exact"/>
        <w:rPr>
          <w:sz w:val="20"/>
          <w:szCs w:val="20"/>
          <w:color w:val="auto"/>
        </w:rPr>
      </w:pPr>
    </w:p>
    <w:p>
      <w:pPr>
        <w:jc w:val="both"/>
        <w:ind w:left="644" w:firstLine="5"/>
        <w:spacing w:after="0" w:line="257" w:lineRule="auto"/>
        <w:tabs>
          <w:tab w:leader="none" w:pos="101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Company’s receipt of such written notice. The Participant’s right to terminate the Participant’s employment for Good Reason shall not be affected by the Participant’s incapacity due to physical or mental illness. The Participant’s continued employment shall not constitute consent to, or a waiver of rights with respect to, any act or failure to act constituting Good Reason hereunder. </w:t>
      </w:r>
      <w:r>
        <w:rPr>
          <w:rFonts w:ascii="Times New Roman" w:cs="Times New Roman" w:eastAsia="Times New Roman" w:hAnsi="Times New Roman"/>
          <w:sz w:val="19"/>
          <w:szCs w:val="19"/>
          <w:color w:val="auto"/>
        </w:rPr>
        <w:t>(c)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notwithstanding Section 5(a) and Section 5(b), if Participant is subject to the Company’s Executive Change in Control Program as of the date hereof, upon any termination without Cause (as defined in this Section 5(c)) or for Good Reason (as defined in this Section 5(c)) following a Change of Control (as defined in this Section 5(c)), Time-Based RSUs shall vest in full as of such Termination Date, and Performance-Based RSUs shall vest at the “target” performance level set forth in the Notice of Grant as of the Termination Date. For purposes of this Section 5(c), “Cause”, “Change of Control”, “Good Reason” and “Termination Date” shall have the meaning set forth in the version of the Company’s Executive Change in Control Program, as in effect on the date hereof.</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both"/>
        <w:ind w:left="-656" w:firstLine="656"/>
        <w:spacing w:after="0" w:line="235" w:lineRule="auto"/>
        <w:tabs>
          <w:tab w:leader="none" w:pos="37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color w:val="auto"/>
        </w:rPr>
        <w:t>. Unless otherwise specified in the country-specific provisions in Exhibit B, 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8 and the other provisions of this Agreement, but, subject to Applicable Law, in no event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8 and the other provisions of this Agreement.</w:t>
      </w:r>
    </w:p>
    <w:p>
      <w:pPr>
        <w:spacing w:after="0" w:line="204" w:lineRule="exact"/>
        <w:rPr>
          <w:rFonts w:ascii="Times New Roman" w:cs="Times New Roman" w:eastAsia="Times New Roman" w:hAnsi="Times New Roman"/>
          <w:sz w:val="20"/>
          <w:szCs w:val="20"/>
          <w:color w:val="auto"/>
        </w:rPr>
      </w:pPr>
    </w:p>
    <w:p>
      <w:pPr>
        <w:ind w:left="344" w:hanging="344"/>
        <w:spacing w:after="0"/>
        <w:tabs>
          <w:tab w:leader="none" w:pos="3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 or Death of Participant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56" w:firstLine="656"/>
        <w:spacing w:after="0" w:line="269" w:lineRule="auto"/>
        <w:tabs>
          <w:tab w:leader="none" w:pos="4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7(c), if Participant ceases to be an Employee by reason of his or her Disability during the term of this Award, all unvested Time-Based RSUs shall vest in full as of the date of such cessation of employment due to such Disability.</w:t>
      </w:r>
    </w:p>
    <w:p>
      <w:pPr>
        <w:spacing w:after="0" w:line="173" w:lineRule="exact"/>
        <w:rPr>
          <w:rFonts w:ascii="Times New Roman" w:cs="Times New Roman" w:eastAsia="Times New Roman" w:hAnsi="Times New Roman"/>
          <w:sz w:val="20"/>
          <w:szCs w:val="20"/>
          <w:color w:val="auto"/>
        </w:rPr>
      </w:pPr>
    </w:p>
    <w:p>
      <w:pPr>
        <w:jc w:val="both"/>
        <w:ind w:left="-656" w:firstLine="656"/>
        <w:spacing w:after="0" w:line="244" w:lineRule="auto"/>
        <w:tabs>
          <w:tab w:leader="none" w:pos="42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27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or death.</w:t>
      </w:r>
    </w:p>
    <w:p>
      <w:pPr>
        <w:spacing w:after="0" w:line="188" w:lineRule="exact"/>
        <w:rPr>
          <w:sz w:val="20"/>
          <w:szCs w:val="20"/>
          <w:color w:val="auto"/>
        </w:rPr>
      </w:pPr>
    </w:p>
    <w:p>
      <w:pPr>
        <w:jc w:val="both"/>
        <w:ind w:left="-656" w:firstLine="656"/>
        <w:spacing w:after="0" w:line="242" w:lineRule="auto"/>
        <w:tabs>
          <w:tab w:leader="none" w:pos="52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ectPr>
          <w:pgSz w:w="11900" w:h="16838" w:orient="portrait"/>
          <w:cols w:equalWidth="0" w:num="1">
            <w:col w:w="10764"/>
          </w:cols>
          <w:pgMar w:left="896" w:top="118" w:right="239" w:bottom="101" w:gutter="0" w:footer="0" w:header="0"/>
        </w:sectPr>
      </w:pPr>
    </w:p>
    <w:bookmarkStart w:id="104" w:name="page105"/>
    <w:bookmarkEnd w:id="104"/>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In this regard, Participant authorizes the Company and/or the Employer, or their respective agents, at their discretion, to satisfy any obligations with regard to withholding of Tax-Related Items by one or a combination of the following:</w:t>
      </w:r>
    </w:p>
    <w:p>
      <w:pPr>
        <w:spacing w:after="0" w:line="161" w:lineRule="exact"/>
        <w:rPr>
          <w:sz w:val="20"/>
          <w:szCs w:val="20"/>
          <w:color w:val="auto"/>
        </w:rPr>
      </w:pPr>
    </w:p>
    <w:p>
      <w:pPr>
        <w:ind w:left="1300" w:hanging="320"/>
        <w:spacing w:after="0" w:line="269" w:lineRule="auto"/>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Participant’s wages or other cash compensation paid to Participant by the Company and/or the Employer, including withholding from cash from Participant’s brokerage account designated by the Company; or</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96" w:lineRule="auto"/>
        <w:tabs>
          <w:tab w:leader="none" w:pos="13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vesting/settlement of the Restricted Stock Units either through a voluntary sale or through a mandatory sale arranged by the Company (on Participant’s behalf pursuant to this authorization); or</w:t>
      </w:r>
    </w:p>
    <w:p>
      <w:pPr>
        <w:spacing w:after="0" w:line="136"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settlement of the Restricted Stock Units.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using rates up to, but not exceeding, the maximum tax rates in Participant’s jurisdiction on the date the amount of Tax-Related Items to be withheld is to be determined. Participant will receive a refund in cash of any amount withheld that exceeds the amount remitted to the applicable tax authorities and will have no entitlement to the Common Stock equivalent or to any interest on such over-withheld amount.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(i) through (iii) above, if Participant is subject to Section 16 of the Exchange Act, any obligation to withhold Tax-Related Items will be satisfied under (iii), unless otherwise determined by the Board or Compensation Committee.</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0" w:lineRule="exact"/>
        <w:rPr>
          <w:sz w:val="20"/>
          <w:szCs w:val="20"/>
          <w:color w:val="auto"/>
        </w:rPr>
      </w:pPr>
    </w:p>
    <w:p>
      <w:pPr>
        <w:jc w:val="both"/>
        <w:ind w:firstLine="656"/>
        <w:spacing w:after="0" w:line="245" w:lineRule="auto"/>
        <w:tabs>
          <w:tab w:leader="none" w:pos="103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w:t>
      </w:r>
    </w:p>
    <w:p>
      <w:pPr>
        <w:spacing w:after="0" w:line="185" w:lineRule="exact"/>
        <w:rPr>
          <w:rFonts w:ascii="Times New Roman" w:cs="Times New Roman" w:eastAsia="Times New Roman" w:hAnsi="Times New Roman"/>
          <w:sz w:val="20"/>
          <w:szCs w:val="20"/>
          <w:color w:val="auto"/>
        </w:rPr>
      </w:pPr>
    </w:p>
    <w:p>
      <w:pPr>
        <w:jc w:val="both"/>
        <w:ind w:firstLine="656"/>
        <w:spacing w:after="0" w:line="242" w:lineRule="auto"/>
        <w:tabs>
          <w:tab w:leader="none" w:pos="11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Employment</w:t>
      </w:r>
      <w:r>
        <w:rPr>
          <w:rFonts w:ascii="Times New Roman" w:cs="Times New Roman" w:eastAsia="Times New Roman" w:hAnsi="Times New Roman"/>
          <w:sz w:val="20"/>
          <w:szCs w:val="20"/>
          <w:color w:val="auto"/>
        </w:rPr>
        <w:t>. PARTICIPANT ACKNOWLEDGES AND AGREES THAT THE VESTING OF THE RESTRICTED STOCK UNITS PURSUANT TO THE VESTING SCHEDULE HEREOF IS EARNED ONLY BY CONTINUING AS AN EMPLOYEE AT THE WILL OF THE COMPANY (OR THE SUBSIDIARY EMPLOYING PARTICIPANT) AND NOT THROUGH THE ACT OF BEING HIRED, BEING GRANTED THIS AWARD OF RESTRICTED STOCK UNITS OR, AS APPLICABLE, ACQUIRING SHARES HEREUNDER. PARTICIPANT FURTHER ACKNOWLEDGES AND AGREES THAT THIS 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spacing w:after="0" w:line="193" w:lineRule="exact"/>
        <w:rPr>
          <w:rFonts w:ascii="Times New Roman" w:cs="Times New Roman" w:eastAsia="Times New Roman" w:hAnsi="Times New Roman"/>
          <w:sz w:val="20"/>
          <w:szCs w:val="20"/>
          <w:color w:val="auto"/>
        </w:rPr>
      </w:pPr>
    </w:p>
    <w:p>
      <w:pPr>
        <w:jc w:val="both"/>
        <w:ind w:firstLine="656"/>
        <w:spacing w:after="0" w:line="254" w:lineRule="auto"/>
        <w:tabs>
          <w:tab w:leader="none" w:pos="116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xml:space="preserve">. Unless otherwise specified in Exhibit B, any notice to be given to the Company under the terms of this Agreement will be addressed to the Company at Autodesk, Inc., c/o Stock Administrator, </w:t>
      </w:r>
      <w:r>
        <w:rPr>
          <w:rFonts w:ascii="Times New Roman" w:cs="Times New Roman" w:eastAsia="Times New Roman" w:hAnsi="Times New Roman"/>
          <w:sz w:val="20"/>
          <w:szCs w:val="20"/>
          <w:b w:val="1"/>
          <w:bCs w:val="1"/>
          <w:color w:val="auto"/>
        </w:rPr>
        <w:t>111 McInnis Parkway, San Rafael, CA 94903</w:t>
      </w:r>
      <w:r>
        <w:rPr>
          <w:rFonts w:ascii="Times New Roman" w:cs="Times New Roman" w:eastAsia="Times New Roman" w:hAnsi="Times New Roman"/>
          <w:sz w:val="20"/>
          <w:szCs w:val="20"/>
          <w:color w:val="auto"/>
        </w:rPr>
        <w:t>, or at such other address as the Company may hereafter designate in writing.</w:t>
      </w:r>
    </w:p>
    <w:p>
      <w:pPr>
        <w:spacing w:after="0" w:line="174" w:lineRule="exact"/>
        <w:rPr>
          <w:rFonts w:ascii="Times New Roman" w:cs="Times New Roman" w:eastAsia="Times New Roman" w:hAnsi="Times New Roman"/>
          <w:sz w:val="20"/>
          <w:szCs w:val="20"/>
          <w:color w:val="auto"/>
        </w:rPr>
      </w:pPr>
    </w:p>
    <w:p>
      <w:pPr>
        <w:jc w:val="both"/>
        <w:ind w:firstLine="656"/>
        <w:spacing w:after="0" w:line="247" w:lineRule="auto"/>
        <w:tabs>
          <w:tab w:leader="none" w:pos="11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0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9" w:lineRule="exact"/>
        <w:rPr>
          <w:rFonts w:ascii="Times New Roman" w:cs="Times New Roman" w:eastAsia="Times New Roman" w:hAnsi="Times New Roman"/>
          <w:sz w:val="20"/>
          <w:szCs w:val="20"/>
          <w:color w:val="auto"/>
        </w:rPr>
      </w:pPr>
    </w:p>
    <w:p>
      <w:pPr>
        <w:jc w:val="both"/>
        <w:ind w:firstLine="656"/>
        <w:spacing w:after="0" w:line="243" w:lineRule="auto"/>
        <w:tabs>
          <w:tab w:leader="none" w:pos="11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 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sectPr>
          <w:pgSz w:w="11900" w:h="16838" w:orient="portrait"/>
          <w:cols w:equalWidth="0" w:num="1">
            <w:col w:w="11420"/>
          </w:cols>
          <w:pgMar w:left="240" w:top="118" w:right="239" w:bottom="0" w:gutter="0" w:footer="0" w:header="0"/>
        </w:sectPr>
      </w:pPr>
    </w:p>
    <w:bookmarkStart w:id="105" w:name="page106"/>
    <w:bookmarkEnd w:id="105"/>
    <w:p>
      <w:pPr>
        <w:jc w:val="both"/>
        <w:ind w:left="-656" w:firstLine="656"/>
        <w:spacing w:after="0" w:line="253" w:lineRule="auto"/>
        <w:tabs>
          <w:tab w:leader="none" w:pos="45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w:t>
      </w:r>
    </w:p>
    <w:p>
      <w:pPr>
        <w:spacing w:after="0" w:line="176" w:lineRule="exact"/>
        <w:rPr>
          <w:rFonts w:ascii="Times New Roman" w:cs="Times New Roman" w:eastAsia="Times New Roman" w:hAnsi="Times New Roman"/>
          <w:sz w:val="20"/>
          <w:szCs w:val="20"/>
          <w:color w:val="auto"/>
        </w:rPr>
      </w:pPr>
    </w:p>
    <w:p>
      <w:pPr>
        <w:jc w:val="both"/>
        <w:ind w:left="-656" w:firstLine="656"/>
        <w:spacing w:after="0" w:line="260" w:lineRule="auto"/>
        <w:tabs>
          <w:tab w:leader="none" w:pos="43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Authority</w:t>
      </w:r>
      <w:r>
        <w:rPr>
          <w:rFonts w:ascii="Times New Roman" w:cs="Times New Roman" w:eastAsia="Times New Roman" w:hAnsi="Times New Roman"/>
          <w:sz w:val="19"/>
          <w:szCs w:val="19"/>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73" w:lineRule="exact"/>
        <w:rPr>
          <w:rFonts w:ascii="Times New Roman" w:cs="Times New Roman" w:eastAsia="Times New Roman" w:hAnsi="Times New Roman"/>
          <w:sz w:val="19"/>
          <w:szCs w:val="19"/>
          <w:color w:val="auto"/>
        </w:rPr>
      </w:pPr>
    </w:p>
    <w:p>
      <w:pPr>
        <w:jc w:val="both"/>
        <w:ind w:left="-656" w:firstLine="656"/>
        <w:spacing w:after="0" w:line="247" w:lineRule="auto"/>
        <w:tabs>
          <w:tab w:leader="none" w:pos="46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0" w:lineRule="exact"/>
        <w:rPr>
          <w:rFonts w:ascii="Times New Roman" w:cs="Times New Roman" w:eastAsia="Times New Roman" w:hAnsi="Times New Roman"/>
          <w:sz w:val="20"/>
          <w:szCs w:val="20"/>
          <w:color w:val="auto"/>
        </w:rPr>
      </w:pPr>
    </w:p>
    <w:p>
      <w:pPr>
        <w:ind w:left="-656" w:right="20" w:firstLine="656"/>
        <w:spacing w:after="0" w:line="269" w:lineRule="auto"/>
        <w:tabs>
          <w:tab w:leader="none" w:pos="47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Agreement.</w:t>
      </w:r>
    </w:p>
    <w:p>
      <w:pPr>
        <w:spacing w:after="0" w:line="159"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49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4" w:lineRule="exact"/>
        <w:rPr>
          <w:rFonts w:ascii="Times New Roman" w:cs="Times New Roman" w:eastAsia="Times New Roman" w:hAnsi="Times New Roman"/>
          <w:sz w:val="20"/>
          <w:szCs w:val="20"/>
          <w:color w:val="auto"/>
        </w:rPr>
      </w:pPr>
    </w:p>
    <w:p>
      <w:pPr>
        <w:jc w:val="both"/>
        <w:ind w:left="-656" w:firstLine="656"/>
        <w:spacing w:after="0" w:line="244" w:lineRule="auto"/>
        <w:tabs>
          <w:tab w:leader="none" w:pos="5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Agreement</w:t>
      </w:r>
      <w:r>
        <w:rPr>
          <w:rFonts w:ascii="Times New Roman" w:cs="Times New Roman" w:eastAsia="Times New Roman" w:hAnsi="Times New Roman"/>
          <w:sz w:val="20"/>
          <w:szCs w:val="20"/>
          <w:color w:val="auto"/>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spacing w:after="0" w:line="186"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47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4" w:lineRule="exact"/>
        <w:rPr>
          <w:rFonts w:ascii="Times New Roman" w:cs="Times New Roman" w:eastAsia="Times New Roman" w:hAnsi="Times New Roman"/>
          <w:sz w:val="20"/>
          <w:szCs w:val="20"/>
          <w:color w:val="auto"/>
        </w:rPr>
      </w:pPr>
    </w:p>
    <w:p>
      <w:pPr>
        <w:jc w:val="both"/>
        <w:ind w:left="-656" w:firstLine="656"/>
        <w:spacing w:after="0" w:line="247" w:lineRule="auto"/>
        <w:tabs>
          <w:tab w:leader="none" w:pos="47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Award and the provisions of this Agreement shall be governed by, and subject to, the laws of the State of California, without giving effect to the 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Times New Roman" w:cs="Times New Roman" w:eastAsia="Times New Roman" w:hAnsi="Times New Roman"/>
          <w:sz w:val="20"/>
          <w:szCs w:val="20"/>
          <w:b w:val="1"/>
          <w:bCs w:val="1"/>
          <w:color w:val="auto"/>
        </w:rPr>
        <w:t>Marin County, California</w:t>
      </w:r>
      <w:r>
        <w:rPr>
          <w:rFonts w:ascii="Times New Roman" w:cs="Times New Roman" w:eastAsia="Times New Roman" w:hAnsi="Times New Roman"/>
          <w:sz w:val="20"/>
          <w:szCs w:val="20"/>
          <w:color w:val="auto"/>
        </w:rPr>
        <w:t>, or the federal courts for the United States for the Northern District of California, and no other courts, where this Award of Restricted Stock Units is made and/or to be performed.</w:t>
      </w:r>
    </w:p>
    <w:p>
      <w:pPr>
        <w:spacing w:after="0" w:line="180" w:lineRule="exact"/>
        <w:rPr>
          <w:rFonts w:ascii="Times New Roman" w:cs="Times New Roman" w:eastAsia="Times New Roman" w:hAnsi="Times New Roman"/>
          <w:sz w:val="20"/>
          <w:szCs w:val="20"/>
          <w:color w:val="auto"/>
        </w:rPr>
      </w:pPr>
    </w:p>
    <w:p>
      <w:pPr>
        <w:ind w:left="-656" w:firstLine="656"/>
        <w:spacing w:after="0" w:line="269" w:lineRule="auto"/>
        <w:tabs>
          <w:tab w:leader="none" w:pos="47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9" w:lineRule="exact"/>
        <w:rPr>
          <w:rFonts w:ascii="Times New Roman" w:cs="Times New Roman" w:eastAsia="Times New Roman" w:hAnsi="Times New Roman"/>
          <w:sz w:val="20"/>
          <w:szCs w:val="20"/>
          <w:color w:val="auto"/>
        </w:rPr>
      </w:pPr>
    </w:p>
    <w:p>
      <w:pPr>
        <w:ind w:left="444" w:hanging="444"/>
        <w:spacing w:after="0"/>
        <w:tabs>
          <w:tab w:leader="none" w:pos="4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Restricted Stock Unit Award, Participant acknowledges that:</w:t>
      </w:r>
    </w:p>
    <w:p>
      <w:pPr>
        <w:spacing w:after="0" w:line="229" w:lineRule="exact"/>
        <w:rPr>
          <w:sz w:val="20"/>
          <w:szCs w:val="20"/>
          <w:color w:val="auto"/>
        </w:rPr>
      </w:pPr>
    </w:p>
    <w:p>
      <w:pPr>
        <w:jc w:val="both"/>
        <w:ind w:left="-656" w:firstLine="656"/>
        <w:spacing w:after="0" w:line="247" w:lineRule="auto"/>
        <w:tabs>
          <w:tab w:leader="none" w:pos="42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spacing w:after="0" w:line="194" w:lineRule="exact"/>
        <w:rPr>
          <w:rFonts w:ascii="Times New Roman" w:cs="Times New Roman" w:eastAsia="Times New Roman" w:hAnsi="Times New Roman"/>
          <w:sz w:val="20"/>
          <w:szCs w:val="20"/>
          <w:color w:val="auto"/>
        </w:rPr>
      </w:pPr>
    </w:p>
    <w:p>
      <w:pPr>
        <w:ind w:left="-656" w:right="20" w:firstLine="656"/>
        <w:spacing w:after="0" w:line="269" w:lineRule="auto"/>
        <w:tabs>
          <w:tab w:leader="none" w:pos="4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3" w:lineRule="exact"/>
        <w:rPr>
          <w:rFonts w:ascii="Times New Roman" w:cs="Times New Roman" w:eastAsia="Times New Roman" w:hAnsi="Times New Roman"/>
          <w:sz w:val="20"/>
          <w:szCs w:val="20"/>
          <w:color w:val="auto"/>
        </w:rPr>
      </w:pPr>
    </w:p>
    <w:p>
      <w:pPr>
        <w:jc w:val="both"/>
        <w:ind w:left="-656" w:right="20" w:firstLine="656"/>
        <w:spacing w:after="0" w:line="254" w:lineRule="auto"/>
        <w:tabs>
          <w:tab w:leader="none" w:pos="4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shall not create a right to continued service with the Company (or any Subsidiary).</w:t>
      </w:r>
    </w:p>
    <w:p>
      <w:pPr>
        <w:spacing w:after="0" w:line="229"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color w:val="auto"/>
        </w:rPr>
      </w:pPr>
    </w:p>
    <w:p>
      <w:pPr>
        <w:jc w:val="both"/>
        <w:ind w:left="-656" w:firstLine="656"/>
        <w:spacing w:after="0" w:line="247" w:lineRule="auto"/>
        <w:tabs>
          <w:tab w:leader="none" w:pos="44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spacing w:after="0" w:line="194" w:lineRule="exact"/>
        <w:rPr>
          <w:rFonts w:ascii="Times New Roman" w:cs="Times New Roman" w:eastAsia="Times New Roman" w:hAnsi="Times New Roman"/>
          <w:sz w:val="20"/>
          <w:szCs w:val="20"/>
          <w:color w:val="auto"/>
        </w:rPr>
      </w:pPr>
    </w:p>
    <w:p>
      <w:pPr>
        <w:jc w:val="both"/>
        <w:ind w:left="-656" w:firstLine="656"/>
        <w:spacing w:after="0" w:line="269" w:lineRule="auto"/>
        <w:tabs>
          <w:tab w:leader="none" w:pos="48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is not part of normal or expected compensation or salary for any purpose, including, but not limited to, calculating any severance payments, resignation, termination, redundancy, end-of-service payments, bonuses, long-service awards,</w:t>
      </w:r>
    </w:p>
    <w:p>
      <w:pPr>
        <w:sectPr>
          <w:pgSz w:w="11900" w:h="16838" w:orient="portrait"/>
          <w:cols w:equalWidth="0" w:num="1">
            <w:col w:w="10764"/>
          </w:cols>
          <w:pgMar w:left="896" w:top="118" w:right="239" w:bottom="0" w:gutter="0" w:footer="0" w:header="0"/>
        </w:sectPr>
      </w:pPr>
    </w:p>
    <w:bookmarkStart w:id="106" w:name="page107"/>
    <w:bookmarkEnd w:id="106"/>
    <w:p>
      <w:pPr>
        <w:spacing w:after="0" w:line="268" w:lineRule="auto"/>
        <w:rPr>
          <w:sz w:val="20"/>
          <w:szCs w:val="20"/>
          <w:color w:val="auto"/>
        </w:rPr>
      </w:pPr>
      <w:r>
        <w:rPr>
          <w:rFonts w:ascii="Times New Roman" w:cs="Times New Roman" w:eastAsia="Times New Roman" w:hAnsi="Times New Roman"/>
          <w:sz w:val="20"/>
          <w:szCs w:val="20"/>
          <w:color w:val="auto"/>
        </w:rPr>
        <w:t>pension or retirement benefits or similar payments. This applies to any payment even in those jurisdictions requiring such payments upon termination of employment.</w:t>
      </w:r>
    </w:p>
    <w:p>
      <w:pPr>
        <w:spacing w:after="0" w:line="174" w:lineRule="exact"/>
        <w:rPr>
          <w:sz w:val="20"/>
          <w:szCs w:val="20"/>
          <w:color w:val="auto"/>
        </w:rPr>
      </w:pPr>
    </w:p>
    <w:p>
      <w:pPr>
        <w:ind w:firstLine="656"/>
        <w:spacing w:after="0" w:line="269" w:lineRule="auto"/>
        <w:tabs>
          <w:tab w:leader="none" w:pos="110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Award will not be interpreted to form an employment contract or relationship with the Company; and furthermore the Restricted Stock Unit Award will not be interpreted to form an employment contract with any Subsidiary.</w:t>
      </w:r>
    </w:p>
    <w:p>
      <w:pPr>
        <w:spacing w:after="0" w:line="173" w:lineRule="exact"/>
        <w:rPr>
          <w:rFonts w:ascii="Times New Roman" w:cs="Times New Roman" w:eastAsia="Times New Roman" w:hAnsi="Times New Roman"/>
          <w:sz w:val="20"/>
          <w:szCs w:val="20"/>
          <w:color w:val="auto"/>
        </w:rPr>
      </w:pPr>
    </w:p>
    <w:p>
      <w:pPr>
        <w:ind w:firstLine="656"/>
        <w:spacing w:after="0" w:line="269" w:lineRule="auto"/>
        <w:tabs>
          <w:tab w:leader="none" w:pos="107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173"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Award has been granted to Participant in Participant’s status as an Employee of the Company or its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20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no additional obligations for any Subsidiary employing Participant as a result of this Restricted Stock Unit Award.</w:t>
      </w:r>
    </w:p>
    <w:p>
      <w:pPr>
        <w:spacing w:after="0" w:line="240"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Restricted Stock Units or other grants, if any, will be at the sole discretion of the Company.</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3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 and the Shares subject to the Restricted Stock Units, and the income and value of same, are not intended to replace any pension rights or compensation.</w:t>
      </w:r>
    </w:p>
    <w:p>
      <w:pPr>
        <w:spacing w:after="0" w:line="17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Participant is providing services outside the United States:</w:t>
      </w:r>
    </w:p>
    <w:p>
      <w:pPr>
        <w:spacing w:after="0" w:line="229" w:lineRule="exact"/>
        <w:rPr>
          <w:rFonts w:ascii="Times New Roman" w:cs="Times New Roman" w:eastAsia="Times New Roman" w:hAnsi="Times New Roman"/>
          <w:sz w:val="20"/>
          <w:szCs w:val="20"/>
          <w:color w:val="auto"/>
        </w:rPr>
      </w:pPr>
    </w:p>
    <w:p>
      <w:pPr>
        <w:ind w:left="660" w:firstLine="645"/>
        <w:spacing w:after="0" w:line="269" w:lineRule="auto"/>
        <w:tabs>
          <w:tab w:leader="none" w:pos="1827"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Units and the Shares subject to the Restricted Stock Units are not part of normal or expected compensation or salary for any purpose;</w:t>
      </w:r>
    </w:p>
    <w:p>
      <w:pPr>
        <w:spacing w:after="0" w:line="173"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6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of the Company shall be liable for any foreign exchange rate fluctuation between Participant’s local currency and the United States Dollar that may affect the value of the Restricted Stock Units or of any amounts due to you pursuant to the settlement of the Restricted Stock Units or the subsequent sale of any Shares acquired upon settlement; and</w:t>
      </w:r>
    </w:p>
    <w:p>
      <w:pPr>
        <w:spacing w:after="0" w:line="193"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86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the Employer or any of the other Subsidiaries or affiliates of the Company.</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50" w:lineRule="auto"/>
        <w:tabs>
          <w:tab w:leader="none" w:pos="116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Participant hereby explicitly and unambiguously consents to the collection, use and transfer, in electronic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 form, of Participant’s personal data as described in this Agreement and any other Restricted Stock Unit grant materials by and among, as applicable, the Employer, the Company and its other Subsidiaries and affiliates for the exclusive purpose of implementing, administering and managing Participant’s participation in the Plan.</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Participant understands that Data will be transferred to E*TRADE Financial Corporate Services, Inc. (“E*TRADE”),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Participant resides outside the United States, Participant may request a list with the names and addresses of any potential recipients of the Data by contacting Participant’s local human resources representative. Participant authorizes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if Participant resides outside the United States, Participant may, at any time, view Data, request information about the storage and processing of Data, require any necessary amendments to Data or refuse or withdraw the consents herein, in any case without cost, by contacting in writing Participant’s local human resources representative. Further, Participant understands that Participant is providing the consents herein on a purely voluntary basis. If Participant does not consent, or if Participant later seeks to revoke Participant’s consent, Participant’s employment status or service with the Employer will not be adversely affected; the only consequence of refusing or withdrawing Participant’s consent is that the Company would not be able to grant Restricted Stock Units or other equity awards to Participant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he or she may contact Participant’s local human resources representative.</w:t>
      </w:r>
    </w:p>
    <w:p>
      <w:pPr>
        <w:spacing w:after="0" w:line="203" w:lineRule="exact"/>
        <w:rPr>
          <w:sz w:val="20"/>
          <w:szCs w:val="20"/>
          <w:color w:val="auto"/>
        </w:rPr>
      </w:pPr>
    </w:p>
    <w:p>
      <w:pPr>
        <w:jc w:val="both"/>
        <w:ind w:firstLine="656"/>
        <w:spacing w:after="0" w:line="249" w:lineRule="auto"/>
        <w:tabs>
          <w:tab w:leader="none" w:pos="117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Currency Exchange Risk</w:t>
      </w:r>
      <w:r>
        <w:rPr>
          <w:rFonts w:ascii="Times New Roman" w:cs="Times New Roman" w:eastAsia="Times New Roman" w:hAnsi="Times New Roman"/>
          <w:sz w:val="20"/>
          <w:szCs w:val="20"/>
          <w:color w:val="auto"/>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sectPr>
          <w:pgSz w:w="11900" w:h="16838" w:orient="portrait"/>
          <w:cols w:equalWidth="0" w:num="1">
            <w:col w:w="11420"/>
          </w:cols>
          <w:pgMar w:left="240" w:top="118" w:right="239" w:bottom="0" w:gutter="0" w:footer="0" w:header="0"/>
        </w:sectPr>
      </w:pPr>
    </w:p>
    <w:bookmarkStart w:id="107" w:name="page108"/>
    <w:bookmarkEnd w:id="107"/>
    <w:p>
      <w:pPr>
        <w:jc w:val="both"/>
        <w:ind w:firstLine="656"/>
        <w:spacing w:after="0" w:line="249" w:lineRule="auto"/>
        <w:tabs>
          <w:tab w:leader="none" w:pos="120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1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10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Participant acknowledge that a waiver by the Company of breach of any provision of this Agreement shall not operate or be construed as a waiver of any other provision of this Agreement, or of any subsequent breach by Participant or any other Participant.</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1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Insider-Trading/Market-Abuse Laws</w:t>
      </w:r>
      <w:r>
        <w:rPr>
          <w:rFonts w:ascii="Times New Roman" w:cs="Times New Roman" w:eastAsia="Times New Roman" w:hAnsi="Times New Roman"/>
          <w:sz w:val="20"/>
          <w:szCs w:val="20"/>
          <w:color w:val="auto"/>
        </w:rPr>
        <w:t>. Participant acknowledges that, depending on Participant’s country, Participant may be subject to insider-trading restrictions and/or market-abuse laws, which may affect Participant’s ability to purchase or sell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the Autodesk, Inc. Insider Trading Policy. Participant is responsible for complying with any applicable restrictions, so Participant is advised to speak to Participant’s personal legal advisor and/or the Company’s Legal Department for further details regarding any applicable insider-trading and/or market-abuse laws in Participant’s country.</w:t>
      </w:r>
    </w:p>
    <w:p>
      <w:pPr>
        <w:spacing w:after="0" w:line="182" w:lineRule="exact"/>
        <w:rPr>
          <w:rFonts w:ascii="Times New Roman" w:cs="Times New Roman" w:eastAsia="Times New Roman" w:hAnsi="Times New Roman"/>
          <w:sz w:val="20"/>
          <w:szCs w:val="20"/>
          <w:color w:val="auto"/>
        </w:rPr>
      </w:pPr>
    </w:p>
    <w:p>
      <w:pPr>
        <w:jc w:val="both"/>
        <w:ind w:firstLine="656"/>
        <w:spacing w:after="0" w:line="244" w:lineRule="auto"/>
        <w:tabs>
          <w:tab w:leader="none" w:pos="109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Requirements and Exchange Controls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 TO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AUTODESK,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2012 EMPLOYEE STOCK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Appendix includes additional terms and conditions that govern the Restricted Stock Units granted to Participant under the Autodesk, Inc. (the “Company”) 2012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Participant is currently working and/or residing, is considered a resident of another country for local law purposes or transfers employer and/or residency between countries after the grant date, the Company shall, in its sole discretion, determine to what extent the terms and conditions contained herein shall apply to Participant under these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December 2015.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other than the one in which he or she is currently working and/or residing, transfers after the grant date or is considered a resident of another country for local law purposes, the information contained herein may not apply in the same manner.</w:t>
      </w:r>
    </w:p>
    <w:p>
      <w:pPr>
        <w:sectPr>
          <w:pgSz w:w="11900" w:h="16838" w:orient="portrait"/>
          <w:cols w:equalWidth="0" w:num="1">
            <w:col w:w="11420"/>
          </w:cols>
          <w:pgMar w:left="240" w:top="118" w:right="239" w:bottom="0" w:gutter="0" w:footer="0" w:header="0"/>
        </w:sectPr>
      </w:pPr>
    </w:p>
    <w:bookmarkStart w:id="108" w:name="page109"/>
    <w:bookmarkEnd w:id="108"/>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ARGENTINA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Neither the Restricted Stock Units nor the underlying Shares are publicly offered or listed on any stock exchange in Argentina. The offer is private and not subject to the supervision of any Argentine governmental authority.</w:t>
      </w:r>
    </w:p>
    <w:p>
      <w:pPr>
        <w:spacing w:after="0" w:line="16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Notwithstanding Section 2 or any other provision of this Agreement, (a) the Restricted Stock Units may not be settled in cash; and (b) the vesting of Restricted Stock Units may be accelerated by the Administrator only upon the death or total permanent disablement of Participant, and to the extent permitted by Applicable Law.</w:t>
      </w:r>
    </w:p>
    <w:p>
      <w:pPr>
        <w:spacing w:after="0" w:line="18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 xml:space="preserve">A Participant will cease to be an employee for the purposes of the Plan (incorporating this Agreement) if he or she is no longer an “Employee” as defined in the Plan, or Participant is no longer employed by any of the following: (a) Participant’s employer in the employment in respect of which Participant acquired the Restricted Stock Units; (b) a holding company (within the meaning of the </w:t>
      </w:r>
      <w:r>
        <w:rPr>
          <w:rFonts w:ascii="Times New Roman" w:cs="Times New Roman" w:eastAsia="Times New Roman" w:hAnsi="Times New Roman"/>
          <w:sz w:val="20"/>
          <w:szCs w:val="20"/>
          <w:i w:val="1"/>
          <w:iCs w:val="1"/>
          <w:color w:val="auto"/>
        </w:rPr>
        <w:t xml:space="preserve">Corporations Act 2001 </w:t>
      </w:r>
      <w:r>
        <w:rPr>
          <w:rFonts w:ascii="Times New Roman" w:cs="Times New Roman" w:eastAsia="Times New Roman" w:hAnsi="Times New Roman"/>
          <w:sz w:val="20"/>
          <w:szCs w:val="20"/>
          <w:color w:val="auto"/>
        </w:rPr>
        <w:t>(Cth)) of Participant’s employer in the employment in respect of which Participant acquired the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Stock Units; (c) a subsidiary (within the meaning of the </w:t>
      </w:r>
      <w:r>
        <w:rPr>
          <w:rFonts w:ascii="Times New Roman" w:cs="Times New Roman" w:eastAsia="Times New Roman" w:hAnsi="Times New Roman"/>
          <w:sz w:val="20"/>
          <w:szCs w:val="20"/>
          <w:i w:val="1"/>
          <w:iCs w:val="1"/>
          <w:color w:val="auto"/>
        </w:rPr>
        <w:t>Income Tax Assessment Act 1997</w:t>
      </w:r>
      <w:r>
        <w:rPr>
          <w:rFonts w:ascii="Times New Roman" w:cs="Times New Roman" w:eastAsia="Times New Roman" w:hAnsi="Times New Roman"/>
          <w:sz w:val="20"/>
          <w:szCs w:val="20"/>
          <w:color w:val="auto"/>
        </w:rPr>
        <w:t xml:space="preserve"> (Cth)) of Participant’s employer in the employment in respect of which Participant acquired the Restricted Stock Units; or (d) a subsidiary (within the meaning of the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Tax Assessment Act 1997 </w:t>
      </w:r>
      <w:r>
        <w:rPr>
          <w:rFonts w:ascii="Times New Roman" w:cs="Times New Roman" w:eastAsia="Times New Roman" w:hAnsi="Times New Roman"/>
          <w:sz w:val="20"/>
          <w:szCs w:val="20"/>
          <w:color w:val="auto"/>
        </w:rPr>
        <w:t>(Cth) of a holding company (within the meaning of the</w:t>
      </w:r>
      <w:r>
        <w:rPr>
          <w:rFonts w:ascii="Times New Roman" w:cs="Times New Roman" w:eastAsia="Times New Roman" w:hAnsi="Times New Roman"/>
          <w:sz w:val="20"/>
          <w:szCs w:val="20"/>
          <w:i w:val="1"/>
          <w:iCs w:val="1"/>
          <w:color w:val="auto"/>
        </w:rPr>
        <w:t xml:space="preserve"> Corporations Act 2001 </w:t>
      </w:r>
      <w:r>
        <w:rPr>
          <w:rFonts w:ascii="Times New Roman" w:cs="Times New Roman" w:eastAsia="Times New Roman" w:hAnsi="Times New Roman"/>
          <w:sz w:val="20"/>
          <w:szCs w:val="20"/>
          <w:color w:val="auto"/>
        </w:rPr>
        <w:t>(Cth)) of Participant’s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employer in the employment in respect of which Participant acquired the Restricted Stock Units.</w:t>
      </w:r>
    </w:p>
    <w:p>
      <w:pPr>
        <w:spacing w:after="0" w:line="20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Australia Class Order Exemption</w:t>
      </w:r>
      <w:r>
        <w:rPr>
          <w:rFonts w:ascii="Times New Roman" w:cs="Times New Roman" w:eastAsia="Times New Roman" w:hAnsi="Times New Roman"/>
          <w:sz w:val="20"/>
          <w:szCs w:val="20"/>
          <w:color w:val="auto"/>
        </w:rPr>
        <w:t>. The offering of the Plan in Australia is intended to qualify for exemption from the prospectus requirements under a Class Order issued by the Australian Securities and Investments Commission. Participant’s right to purchase Shares is subject to the terms and conditions set forth in the Australia Offer Document, the Plan and the Agreement, including this Exhibit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holds Shares obtained through the Plan outside Austria, Participant may be required to submit reports to the Austrian National Bank as follows: (i) on a quarterly basis if the value of the Shares as of any given quarter meets or exceeds €30,000,000; and (ii) on an annual basis if the value of the Shares as of December 31 meets or exceeds €5,000,000. The quarterly reporting date is as of the last day of the respective quarter; the deadline for filing the quarterly report is the 15th day of the month following the end of the respective quarter. The deadline for filing the annual report is January 31 of the following year.</w:t>
      </w:r>
    </w:p>
    <w:p>
      <w:pPr>
        <w:spacing w:after="0" w:line="181"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In addition, when the Shares are sold or a dividend is received, Participant may be required to comply with certain exchange control obligations if the cash proceeds from the sale are held outside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Times New Roman" w:cs="Times New Roman" w:eastAsia="Times New Roman" w:hAnsi="Times New Roman"/>
          <w:sz w:val="20"/>
          <w:szCs w:val="20"/>
          <w:i w:val="1"/>
          <w:iCs w:val="1"/>
          <w:color w:val="auto"/>
        </w:rPr>
        <w:t>Meldungen SI-Forderungen und/oder SI-Verpflichtungen</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BELGIUM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sectPr>
          <w:pgSz w:w="11900" w:h="16889" w:orient="portrait"/>
          <w:cols w:equalWidth="0" w:num="1">
            <w:col w:w="11420"/>
          </w:cols>
          <w:pgMar w:left="240" w:top="114" w:right="239" w:bottom="0" w:gutter="0" w:footer="0" w:header="0"/>
        </w:sectPr>
      </w:pPr>
    </w:p>
    <w:bookmarkStart w:id="109" w:name="page110"/>
    <w:bookmarkEnd w:id="109"/>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In accepting the Award, Participant agrees that he or she is (i) making an investment decision, (ii) the Shares will be issued to Participant only if the vesting conditions are met, and (iii) the value of the underlying Shares is not fixed and may increase or decrease in value over the vesting period without compensation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Section 6 of the Agreement shall be deleted in its entirety and replaced with the following language:</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8 and the other provisions of the Agreement. Any Restricted Stock Units that vest in accordance with Section 4 will be settled at the time(s) provided in Section 4, subject to Section 8 and the other provisions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Vesting/Termination</w:t>
      </w:r>
      <w:r>
        <w:rPr>
          <w:rFonts w:ascii="Times New Roman" w:cs="Times New Roman" w:eastAsia="Times New Roman" w:hAnsi="Times New Roman"/>
          <w:sz w:val="20"/>
          <w:szCs w:val="20"/>
          <w:color w:val="auto"/>
        </w:rPr>
        <w:t>. The following provision supplements Section 5 and replaces 24(a) of the Agreement:</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For purposes of the Agreement, in the event Participant ceases his or her employment or service relationship with the Company or Employer (for any reason whatsoever and whether or not later found to be invalid or in breach of local labor laws), Participant’s right to vest in the Restricted Stock Units will terminate as of the date that is the earlier of: (a) the date Participant receives notice of termination of employment from the Company or Employer, or (b) the date Participant is no longer actively employed or actively providing services to the Company or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providing services (including whether Participant may still be considered actively employed or actively providing services while on a leave of absence).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terms and conditions will apply if Participant is a resident of Quebec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The following provision supplements section 25 of the Agreement:</w:t>
      </w:r>
    </w:p>
    <w:p>
      <w:pPr>
        <w:spacing w:after="0" w:line="21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 file.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CHINA</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following terms and conditions apply if you are subject to exchange control restrictions and regulations in China, including the requirements imposed by the State Administration of Foreign Exchange (“SAFE”) as determined by the Company in its sole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SAFE Regulations</w:t>
      </w:r>
      <w:r>
        <w:rPr>
          <w:rFonts w:ascii="Times New Roman" w:cs="Times New Roman" w:eastAsia="Times New Roman" w:hAnsi="Times New Roman"/>
          <w:sz w:val="20"/>
          <w:szCs w:val="20"/>
          <w:color w:val="auto"/>
        </w:rPr>
        <w:t>. The grant and vesting of the Restricted Stock Units and Participant’s ability to receive the proceeds from the sale of the Shares and convert the proceeds into local currency shall be contingent upon the Company or its Subsidiary maintaining approval from the SAFE for the related foreign exchange transaction and the maintenance of a SAFE-approved bank account. The receipt of funds by Participant from the sale of the Shares and the conversion of those funds to the local currency must be approved by SAFE. In order to comply with the SAFE regulations, the proceeds from the sale of the Shares must be repatriated into China through a SAFE-approved bank account set up and monitored by the Company or its Subsidiary. Such Participant may contact his or her local Human Resource office for more details about the SAFE approved bank account.</w:t>
      </w:r>
    </w:p>
    <w:p>
      <w:pPr>
        <w:spacing w:after="0" w:line="20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9"/>
          <w:szCs w:val="19"/>
          <w:u w:val="single" w:color="auto"/>
          <w:color w:val="auto"/>
        </w:rPr>
        <w:t>Mandatory Same-Day-Sale of Shares</w:t>
      </w:r>
      <w:r>
        <w:rPr>
          <w:rFonts w:ascii="Times New Roman" w:cs="Times New Roman" w:eastAsia="Times New Roman" w:hAnsi="Times New Roman"/>
          <w:sz w:val="19"/>
          <w:szCs w:val="19"/>
          <w:color w:val="auto"/>
        </w:rPr>
        <w:t>. Notwithstanding any provisions concerning the conversion of Restricted Stock Units and issuance of Shares set forth in this Agreement and the Plan, Shares will not be delivered to Participant when the Restricted Stock Units vest. Rather, the Shares to be issued to Participant under the vesting provisions set forth in the Notice of Grant will be sold immediately on Participant’s behalf through the same-day-sale method. Under the same-day-sale method, a brokerage firm will administer the sale of the Shares. From the sale proceeds, the Company will withhold an amount equal to the applicable taxes, commissions, and fees. The remaining proceeds from the sale of the Shares will be remitted to Participant. As a result of the same-day-sale, actual Shares will not be delivered to Participant when the Restricted Stock Units vest. By accepting the Restricted Stock Units, Participant hereby irrevocably and without further notice appoints the Company as Participant’s agent and authorizes the Company, any Subsidiary, and the brokerage firm to take any and all actions necessary to implement the same-day-sale of Shares described in this paragraph.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COLOMBIA</w:t>
      </w:r>
    </w:p>
    <w:p>
      <w:pPr>
        <w:sectPr>
          <w:pgSz w:w="11900" w:h="16838" w:orient="portrait"/>
          <w:cols w:equalWidth="0" w:num="1">
            <w:col w:w="11420"/>
          </w:cols>
          <w:pgMar w:left="240" w:top="292" w:right="239" w:bottom="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Participant acknowledges that pursuant to Article 128 of the Colombian Labor Code, the Plan and related benefits do not constitute a component of Participant’s “salary” for any legal purpose. To this extent,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Investments in assets located outside Colombia (including the Shares) are subject to registration with the Central Bank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if the aggregate value of such investments is U.S.$500,000 or more (as of December 31 of the applicable calendar year). Further, when Shares (or other investments) held abroad are sold, Participant may either choose to keep the resulting sums abroad, or to repatriate them to Colombia. If Participant chooses to repatriate funds to Colombia and has not registered the investment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Participant will need to file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Form No. 5 upon conversion of funds into local currency, which should be duly completed to reflect the nature of the transaction. If Participant has registered the investment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then Participant will need to file with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xml:space="preserve"> Form No. 4 upon conversion of funds into local currency, which should be duly completed to reflect the nature of the transaction. Participant should obtain proper legal advice in order to ensure compliance with applicable Colombian regulations.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Shares are not and will not be registered with the Colombian registry of publicly traded 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may not be offered to the public in Colombia. Nothing in this document should be construed as the making of a public offer of securities in Colombia.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CZECH REPUBLIC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DENMARK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Danish Stock Option Act</w:t>
      </w:r>
      <w:r>
        <w:rPr>
          <w:rFonts w:ascii="Times New Roman" w:cs="Times New Roman" w:eastAsia="Times New Roman" w:hAnsi="Times New Roman"/>
          <w:sz w:val="20"/>
          <w:szCs w:val="20"/>
          <w:color w:val="auto"/>
        </w:rPr>
        <w:t>. By participating in the Plan, Participant acknowledges that he or she received an Employer Statement translated into Danish, which is being provided to comply with the Danish Stock Option Act. To the extent more favorable to Participant and required to comply with the Stock Option Act, the terms set forth in the Employer Statement will apply to the Participant’s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Language Consent</w:t>
      </w:r>
      <w:r>
        <w:rPr>
          <w:rFonts w:ascii="Times New Roman" w:cs="Times New Roman" w:eastAsia="Times New Roman" w:hAnsi="Times New Roman"/>
          <w:sz w:val="20"/>
          <w:szCs w:val="20"/>
          <w:color w:val="auto"/>
        </w:rPr>
        <w:t>. By accepting the Award, Participant confirms having read and understood the Plan and Agreement which were provided in the English language. Participant accepts the terms of those documents accordingly.</w:t>
      </w:r>
    </w:p>
    <w:p>
      <w:pPr>
        <w:spacing w:after="0" w:line="15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Consentement Relatif à la Langue Utilisée</w:t>
      </w:r>
      <w:r>
        <w:rPr>
          <w:rFonts w:ascii="Times New Roman" w:cs="Times New Roman" w:eastAsia="Times New Roman" w:hAnsi="Times New Roman"/>
          <w:sz w:val="20"/>
          <w:szCs w:val="20"/>
          <w:i w:val="1"/>
          <w:iCs w:val="1"/>
          <w:color w:val="auto"/>
        </w:rPr>
        <w:t>. En acceptant l’Attribution, le Participant confirme avoir lu et compris le Plan et le Contrat, qui ont été communiqués en langue anglaise. Le Participant accepte les termes de ces documents en connaissance de cause.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Cross-border payments in excess of €12,500 must be reported monthly to the German Federal Bank. If Participant makes or receives a cross-border payment in excess of €12,500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proceeds from the sale of Shares acquired under the Plan), he or she must report the payment to the German Federal Bank electronically using the “General Statistics Reporting Portal” available via the Bank’s website (</w:t>
      </w:r>
      <w:r>
        <w:rPr>
          <w:rFonts w:ascii="Times New Roman" w:cs="Times New Roman" w:eastAsia="Times New Roman" w:hAnsi="Times New Roman"/>
          <w:sz w:val="20"/>
          <w:szCs w:val="20"/>
          <w:u w:val="single" w:color="auto"/>
          <w:color w:val="auto"/>
        </w:rPr>
        <w:t>www.bundesbank.de</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GREECE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HONG KONG</w:t>
      </w:r>
    </w:p>
    <w:p>
      <w:pPr>
        <w:sectPr>
          <w:pgSz w:w="11900" w:h="16838" w:orient="portrait"/>
          <w:cols w:equalWidth="0" w:num="1">
            <w:col w:w="11420"/>
          </w:cols>
          <w:pgMar w:left="240" w:top="111" w:right="239" w:bottom="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ectPr>
          <w:pgSz w:w="11900" w:h="16838" w:orient="portrait"/>
          <w:cols w:equalWidth="0" w:num="1">
            <w:col w:w="11420"/>
          </w:cols>
          <w:pgMar w:left="240" w:top="111" w:right="239" w:bottom="0" w:gutter="0" w:footer="0" w:header="0"/>
          <w:type w:val="continuous"/>
        </w:sectPr>
      </w:pPr>
    </w:p>
    <w:bookmarkStart w:id="111" w:name="page112"/>
    <w:bookmarkEnd w:id="111"/>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60"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9"/>
          <w:szCs w:val="19"/>
          <w:u w:val="single" w:color="auto"/>
          <w:color w:val="auto"/>
        </w:rPr>
        <w:t>Nature of Scheme</w:t>
      </w:r>
      <w:r>
        <w:rPr>
          <w:rFonts w:ascii="Times New Roman" w:cs="Times New Roman" w:eastAsia="Times New Roman" w:hAnsi="Times New Roman"/>
          <w:sz w:val="19"/>
          <w:szCs w:val="19"/>
          <w:color w:val="auto"/>
        </w:rPr>
        <w:t>. Participant acknowledges that the Company specifically intends that the Plan will not be an occupational retirement scheme for purposes of the Occupational Retirement Schemes Ordinance (“ORSO”). Notwithstanding the foregoing, if the Plan is deemed to constitute an occupational retirement scheme for purposes of ORSO, the Restricted Stock Units granted shall be void.</w:t>
      </w:r>
    </w:p>
    <w:p>
      <w:pPr>
        <w:spacing w:after="0" w:line="157"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Securities Law Compliance</w:t>
      </w:r>
      <w:r>
        <w:rPr>
          <w:rFonts w:ascii="Times New Roman" w:cs="Times New Roman" w:eastAsia="Times New Roman" w:hAnsi="Times New Roman"/>
          <w:sz w:val="20"/>
          <w:szCs w:val="20"/>
          <w:color w:val="auto"/>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u w:val="single" w:color="auto"/>
          <w:color w:val="auto"/>
        </w:rPr>
        <w:t>Securities Law Notification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WARNING: The contents of this Agreement and the Plan have not been reviewed by any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authority in Hong Kong. Participant is advised to exercise caution in relation to the Award. If Participant is in any doubt about any of the contents of this Agreement or the Plan, Participant should obtain independent professional advice.</w:t>
      </w:r>
    </w:p>
    <w:p>
      <w:pPr>
        <w:spacing w:after="0" w:line="16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i w:val="1"/>
          <w:iCs w:val="1"/>
          <w:color w:val="auto"/>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i w:val="1"/>
          <w:iCs w:val="1"/>
          <w:color w:val="auto"/>
        </w:rPr>
        <w:t>This Agreement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HUNGARY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should consult with Participant’s personal advisor to ensure compliance with applicable exchange control regulations in Iceland as such regulations are subject to frequent change. Participant is responsible for ensuring compliance with all exchange control laws in Iceland.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must repatriate any proceeds from the sale of Shares acquired under the Plan and any cash dividends to India and convert the proceeds into local currency within a reasonable time after receipt (i.e., 90 days from the sale of Shares and 180 days from receipt of dividends).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It is Participant’s responsibility to comply with applicable exchange control laws in India.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INDONESIA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Indonesian residents remit proceeds from the sale of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IRELAND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ISRAEL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Section 1 of the Agreement shall be supplemented to add the following language at the end thereof:</w:t>
      </w:r>
    </w:p>
    <w:p>
      <w:pPr>
        <w:sectPr>
          <w:pgSz w:w="11900" w:h="16838" w:orient="portrait"/>
          <w:cols w:equalWidth="0" w:num="1">
            <w:col w:w="11420"/>
          </w:cols>
          <w:pgMar w:left="240" w:top="198" w:right="239" w:bottom="58" w:gutter="0" w:footer="0" w:header="0"/>
        </w:sectPr>
      </w:pPr>
    </w:p>
    <w:bookmarkStart w:id="112" w:name="page113"/>
    <w:bookmarkEnd w:id="112"/>
    <w:p>
      <w:pPr>
        <w:spacing w:after="0" w:line="5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spacing w:after="0" w:line="185"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102 Compliance</w:t>
      </w:r>
      <w:r>
        <w:rPr>
          <w:rFonts w:ascii="Times New Roman" w:cs="Times New Roman" w:eastAsia="Times New Roman" w:hAnsi="Times New Roman"/>
          <w:sz w:val="20"/>
          <w:szCs w:val="20"/>
          <w:color w:val="auto"/>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and (c)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Distribution after Vesting</w:t>
      </w:r>
      <w:r>
        <w:rPr>
          <w:rFonts w:ascii="Times New Roman" w:cs="Times New Roman" w:eastAsia="Times New Roman" w:hAnsi="Times New Roman"/>
          <w:sz w:val="20"/>
          <w:szCs w:val="20"/>
          <w:color w:val="auto"/>
        </w:rPr>
        <w:t>. Section 6 of the Agreement shall be deleted in its entirety and replaced by the following language:</w:t>
      </w:r>
    </w:p>
    <w:p>
      <w:pPr>
        <w:spacing w:after="0" w:line="21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Section 8 of the Agreement shall be supplemented by the following language:</w:t>
      </w:r>
    </w:p>
    <w:p>
      <w:pPr>
        <w:spacing w:after="0" w:line="21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9"/>
          <w:szCs w:val="19"/>
          <w:color w:val="auto"/>
        </w:rPr>
        <w:t>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w:t>
      </w:r>
    </w:p>
    <w:p>
      <w:pPr>
        <w:spacing w:after="0" w:line="174"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spacing w:after="0" w:line="181"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Participant further agrees that the Trustee may act on behalf of the Company or the Employer, as applicable, to satisfy any obligation to withhold Tax-Related Items applicable to Participant in connection with the Units granted under the Sub-Plan.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Section 11 of the Agreement shall be deleted in its entirety and replaced by the following language:</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 xml:space="preserve">Any notice to be given to the Company under the terms of this Agreement will be addressed to the Company at Autodesk, Inc., c/o Stock Administrator, </w:t>
      </w:r>
      <w:r>
        <w:rPr>
          <w:rFonts w:ascii="Times New Roman" w:cs="Times New Roman" w:eastAsia="Times New Roman" w:hAnsi="Times New Roman"/>
          <w:sz w:val="20"/>
          <w:szCs w:val="20"/>
          <w:b w:val="1"/>
          <w:bCs w:val="1"/>
          <w:color w:val="auto"/>
        </w:rPr>
        <w:t>111 McInnis Parkway, San Rafael, CA 94903</w:t>
      </w:r>
      <w:r>
        <w:rPr>
          <w:rFonts w:ascii="Times New Roman" w:cs="Times New Roman" w:eastAsia="Times New Roman" w:hAnsi="Times New Roman"/>
          <w:sz w:val="20"/>
          <w:szCs w:val="20"/>
          <w:color w:val="auto"/>
        </w:rPr>
        <w:t>, or at such other address as the Company may hereafter designate in writing, unless otherwise expressly instructed by the Company or the Trustee with respect to a specific type of notice.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Section 25 of the Agreement shall be supplemented by the following language:</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Without derogating from the scope of Section 25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following provision replaces Section 25 of the Agreement:</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other entitlement to Shares granted, canceled, exercised, vested, unvested or outstanding in Participant’s favor (“Data”), for the exclusive purpose of implementing, managing and administering the Plan.</w:t>
      </w:r>
    </w:p>
    <w:p>
      <w:pPr>
        <w:spacing w:after="0" w:line="17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Participant also understands that providing the Company with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Autodesk, Inc., with registered offices at 111 McInnis Parkway, San Rafael, CA 94903, USA, and, pursuant to Legislative Decree no. 196/2003, its representative is the Employer in Italy.</w:t>
      </w:r>
    </w:p>
    <w:p>
      <w:pPr>
        <w:sectPr>
          <w:pgSz w:w="11900" w:h="16897" w:orient="portrait"/>
          <w:cols w:equalWidth="0" w:num="1">
            <w:col w:w="11420"/>
          </w:cols>
          <w:pgMar w:left="240" w:top="118" w:right="239" w:bottom="0" w:gutter="0" w:footer="0" w:header="0"/>
        </w:sectPr>
      </w:pPr>
    </w:p>
    <w:bookmarkStart w:id="113" w:name="page114"/>
    <w:bookmarkEnd w:id="113"/>
    <w:p>
      <w:pPr>
        <w:spacing w:after="0" w:line="21"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Participant further understands that the Company and any Parent or Subsidiary will transfer Data amongst themselves as necessary for the purpose of implementation, administration and management of Participant’s participation in the Plan, and that the Company and any Parent or Subsidiary may each further transfer Data to third parties assisting the Company in the implementation, administration and management of the Plan, including any requisite transfer to a broker or another third party with whom Participant may elect to deposit any Shares acquired under the Plan. Such recipients may receive, possess, use, retain and transfer the Data in electronic or other form, for the purposes of implementing, administering and managing Participant’s participation in the Plan. Participant understands that these recipients may be located in the European Economic Area, or elsewhere, such as the U.S. Should the Company exercise its discretion in suspending all necessary legal obligations connected with the management and administration of the Plan, it will delete Data as soon as it has accomplished all the necessary legal obligations connected with the management and administration of the Plan.</w:t>
      </w:r>
    </w:p>
    <w:p>
      <w:pPr>
        <w:spacing w:after="0" w:line="18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6"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processing activity, including communication, the transfer of Data abroad, including outside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has the right to, including but not limited to, access, delete, update, correct or terminate, for legitimate reason, the Data processing. Furthermore, Participant is aware that Data will not be used for direct marketing purposes. In addition, Data provided can be reviewed and questions or complaints can be addressed by contacting Participant’s local human resources representative.</w:t>
      </w:r>
    </w:p>
    <w:p>
      <w:pPr>
        <w:spacing w:after="0" w:line="18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Plan Document Acknowledgement</w:t>
      </w:r>
      <w:r>
        <w:rPr>
          <w:rFonts w:ascii="Times New Roman" w:cs="Times New Roman" w:eastAsia="Times New Roman" w:hAnsi="Times New Roman"/>
          <w:sz w:val="20"/>
          <w:szCs w:val="20"/>
          <w:color w:val="auto"/>
        </w:rPr>
        <w:t>.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w:t>
      </w:r>
    </w:p>
    <w:p>
      <w:pPr>
        <w:spacing w:after="0" w:line="175"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Participant further acknowledges having read and specifically approves the following sections of the Agreement: Section 3 (Vesting Schedule), Section 5 (Forfeiture upon Termination of Service as a an Employee), Section 7 (Disability or Death of Participant), Section 8 (Responsibility for Taxes), Section 24 (Nature of Grant), Section 14 (Additional Conditions to Issuance of Stock), Section 17 (Electronic Delivery), Section 22 (Governing Law), Section 23 (Language), Section 30 (Insider Trading Restrictions/Market Abuse Laws), and the Section 25 (Data Privacy) provision set forth above in this Exhibit B.</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JAPAN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KOREA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Exchange control laws require Korean residents who realize US$500,000 or more from the sale of Shares in a single transaction to repatriate the proceeds to Korea within three years of the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MALAYSIA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This provision replaces Section 25 of the Agreement in its entirety:</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i w:val="1"/>
          <w:iCs w:val="1"/>
          <w:color w:val="auto"/>
        </w:rPr>
        <w:t>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w:t>
      </w:r>
    </w:p>
    <w:p>
      <w:pPr>
        <w:spacing w:after="0" w:line="17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i w:val="1"/>
          <w:iCs w:val="1"/>
          <w:color w:val="auto"/>
        </w:rPr>
        <w:t>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i w:val="1"/>
          <w:iCs w:val="1"/>
          <w:color w:val="auto"/>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w:t>
      </w:r>
    </w:p>
    <w:p>
      <w:pPr>
        <w:sectPr>
          <w:pgSz w:w="11900" w:h="16859" w:orient="portrait"/>
          <w:cols w:equalWidth="0" w:num="1">
            <w:col w:w="11420"/>
          </w:cols>
          <w:pgMar w:left="240" w:top="302" w:right="239" w:bottom="0" w:gutter="0" w:footer="0" w:header="0"/>
        </w:sectPr>
      </w:pPr>
    </w:p>
    <w:bookmarkStart w:id="114" w:name="page115"/>
    <w:bookmarkEnd w:id="114"/>
    <w:p>
      <w:pPr>
        <w:jc w:val="both"/>
        <w:ind w:left="660"/>
        <w:spacing w:after="0" w:line="242" w:lineRule="auto"/>
        <w:rPr>
          <w:sz w:val="20"/>
          <w:szCs w:val="20"/>
          <w:color w:val="auto"/>
        </w:rPr>
      </w:pPr>
      <w:r>
        <w:rPr>
          <w:rFonts w:ascii="Times New Roman" w:cs="Times New Roman" w:eastAsia="Times New Roman" w:hAnsi="Times New Roman"/>
          <w:sz w:val="20"/>
          <w:szCs w:val="20"/>
          <w:i w:val="1"/>
          <w:iCs w:val="1"/>
          <w:color w:val="auto"/>
        </w:rPr>
        <w:t>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 hrgc.apac@autodesk.com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w:t>
      </w:r>
    </w:p>
    <w:p>
      <w:pPr>
        <w:spacing w:after="0" w:line="192" w:lineRule="exact"/>
        <w:rPr>
          <w:sz w:val="20"/>
          <w:szCs w:val="20"/>
          <w:color w:val="auto"/>
        </w:rPr>
      </w:pPr>
    </w:p>
    <w:p>
      <w:pPr>
        <w:ind w:left="660" w:right="3340"/>
        <w:spacing w:after="0" w:line="269" w:lineRule="auto"/>
        <w:rPr>
          <w:sz w:val="20"/>
          <w:szCs w:val="20"/>
          <w:color w:val="auto"/>
        </w:rPr>
      </w:pPr>
      <w:r>
        <w:rPr>
          <w:rFonts w:ascii="Times New Roman" w:cs="Times New Roman" w:eastAsia="Times New Roman" w:hAnsi="Times New Roman"/>
          <w:sz w:val="20"/>
          <w:szCs w:val="20"/>
          <w:u w:val="single" w:color="auto"/>
          <w:color w:val="auto"/>
        </w:rPr>
        <w:t>Notifikasi Privasi Data</w:t>
      </w:r>
      <w:r>
        <w:rPr>
          <w:rFonts w:ascii="Times New Roman" w:cs="Times New Roman" w:eastAsia="Times New Roman" w:hAnsi="Times New Roman"/>
          <w:sz w:val="20"/>
          <w:szCs w:val="20"/>
          <w:color w:val="auto"/>
        </w:rPr>
        <w:t>. Peruntukan ini menggantikan Seksyen 25 dalam Perjanjian Anugerah secara keseluruhan :</w:t>
      </w:r>
    </w:p>
    <w:p>
      <w:pPr>
        <w:spacing w:after="0" w:line="169"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9"/>
          <w:szCs w:val="19"/>
          <w:i w:val="1"/>
          <w:iCs w:val="1"/>
          <w:color w:val="auto"/>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spacing w:after="0" w:line="16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9"/>
          <w:szCs w:val="19"/>
          <w:i w:val="1"/>
          <w:iCs w:val="1"/>
          <w:color w:val="auto"/>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 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 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u w:val="single" w:color="auto"/>
          <w:color w:val="auto"/>
        </w:rPr>
        <w:t>Director Notification Obligation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14 days of receiving or disposing of any interest in the Company or any related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Plan Document Acknowledgement</w:t>
      </w:r>
      <w:r>
        <w:rPr>
          <w:rFonts w:ascii="Times New Roman" w:cs="Times New Roman" w:eastAsia="Times New Roman" w:hAnsi="Times New Roman"/>
          <w:sz w:val="20"/>
          <w:szCs w:val="20"/>
          <w:color w:val="auto"/>
        </w:rPr>
        <w:t>. This provision supplements Section 24 of the Agreement:</w:t>
      </w:r>
    </w:p>
    <w:p>
      <w:pPr>
        <w:spacing w:after="0" w:line="21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By accepting the Restricted Stock Units, Participant acknowledges that he or she has received a copy of the Plan and the Agreement, including this Exhibit B, which he or she has reviewed. Participant further acknowledges that he or she accepts all the provisions of the Plan and the Agreement, including this Exhibit B. Participant also acknowledges that he or she has read and specifically and expressly approves the terms and conditions set forth in the “Nature of Grant” Section of the Agreement, which clearly provide as follows:</w:t>
      </w:r>
    </w:p>
    <w:p>
      <w:pPr>
        <w:sectPr>
          <w:pgSz w:w="11900" w:h="16838" w:orient="portrait"/>
          <w:cols w:equalWidth="0" w:num="1">
            <w:col w:w="11420"/>
          </w:cols>
          <w:pgMar w:left="240" w:top="114" w:right="239" w:bottom="0" w:gutter="0" w:footer="0" w:header="0"/>
        </w:sectPr>
      </w:pPr>
    </w:p>
    <w:bookmarkStart w:id="115" w:name="page116"/>
    <w:bookmarkEnd w:id="115"/>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does not constitute an acquired right;</w:t>
      </w:r>
    </w:p>
    <w:p>
      <w:pPr>
        <w:spacing w:after="0" w:line="21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Participant’s participation in it are offered by the Company on a wholly discretionary basis; 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is voluntary.</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u w:val="single" w:color="auto"/>
          <w:color w:val="auto"/>
        </w:rPr>
        <w:t>Labor Law Acknowledgement and Policy Statement</w:t>
      </w:r>
      <w:r>
        <w:rPr>
          <w:rFonts w:ascii="Times New Roman" w:cs="Times New Roman" w:eastAsia="Times New Roman" w:hAnsi="Times New Roman"/>
          <w:sz w:val="20"/>
          <w:szCs w:val="20"/>
          <w:color w:val="auto"/>
        </w:rPr>
        <w:t>. By accepting the Restricted Stock Units, Participant acknowledges that Autodesk, Inc., with registered offices at 111 McInnis Parkway, San Rafael, CA 94903 U.S.A., is solely responsible for the administration of the Plan. Participant further acknowledges that his or her participation in the Plan, the grant of the Restricted Stock Units and any acquisition of Shares under the Plan do not constitute an employment relationship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pacing w:after="0" w:line="17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Documento de Reconocimiento del Plan</w:t>
      </w:r>
      <w:r>
        <w:rPr>
          <w:rFonts w:ascii="Times New Roman" w:cs="Times New Roman" w:eastAsia="Times New Roman" w:hAnsi="Times New Roman"/>
          <w:sz w:val="20"/>
          <w:szCs w:val="20"/>
          <w:i w:val="1"/>
          <w:iCs w:val="1"/>
          <w:color w:val="auto"/>
        </w:rPr>
        <w:t>. Esta disposición suplementa la Sección 24 del Contrato:</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w:t>
      </w:r>
    </w:p>
    <w:p>
      <w:pPr>
        <w:spacing w:after="0" w:line="176"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participación del Participante en el Plan no constituye un derecho adquirido;</w:t>
      </w:r>
    </w:p>
    <w:p>
      <w:pPr>
        <w:spacing w:after="0" w:line="215" w:lineRule="exact"/>
        <w:rPr>
          <w:rFonts w:ascii="Times New Roman" w:cs="Times New Roman" w:eastAsia="Times New Roman" w:hAnsi="Times New Roman"/>
          <w:sz w:val="20"/>
          <w:szCs w:val="20"/>
          <w:i w:val="1"/>
          <w:iCs w:val="1"/>
          <w:color w:val="auto"/>
        </w:rPr>
      </w:pPr>
    </w:p>
    <w:p>
      <w:pPr>
        <w:ind w:left="1080" w:hanging="424"/>
        <w:spacing w:after="0"/>
        <w:tabs>
          <w:tab w:leader="none" w:pos="1080" w:val="left"/>
        </w:tabs>
        <w:numPr>
          <w:ilvl w:val="0"/>
          <w:numId w:val="10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El Plan y la participación del Participante en el Plan se ofrecen por la Compañía de manera totalmente discrecional; y</w:t>
      </w:r>
    </w:p>
    <w:p>
      <w:pPr>
        <w:spacing w:after="0" w:line="215" w:lineRule="exact"/>
        <w:rPr>
          <w:rFonts w:ascii="Times New Roman" w:cs="Times New Roman" w:eastAsia="Times New Roman" w:hAnsi="Times New Roman"/>
          <w:sz w:val="20"/>
          <w:szCs w:val="20"/>
          <w:i w:val="1"/>
          <w:iCs w:val="1"/>
          <w:color w:val="auto"/>
        </w:rPr>
      </w:pPr>
    </w:p>
    <w:p>
      <w:pPr>
        <w:ind w:left="1080" w:hanging="424"/>
        <w:spacing w:after="0"/>
        <w:tabs>
          <w:tab w:leader="none" w:pos="1080" w:val="left"/>
        </w:tabs>
        <w:numPr>
          <w:ilvl w:val="0"/>
          <w:numId w:val="10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participación del Participante en el Plan es voluntaria.</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Reconocimiento de Ley Laboral y Declaración de Política</w:t>
      </w:r>
      <w:r>
        <w:rPr>
          <w:rFonts w:ascii="Times New Roman" w:cs="Times New Roman" w:eastAsia="Times New Roman" w:hAnsi="Times New Roman"/>
          <w:sz w:val="20"/>
          <w:szCs w:val="20"/>
          <w:i w:val="1"/>
          <w:iCs w:val="1"/>
          <w:color w:val="auto"/>
        </w:rPr>
        <w:t>. Al aceptar las Unidades de Acción Restringida, el Participante reconoce que Autodesk, Inc., con oficinas registradas en 111 McInnis Parkway, San Rafael, CA 94903,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i w:val="1"/>
          <w:iCs w:val="1"/>
          <w:color w:val="auto"/>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spacing w:after="0" w:line="169"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ZEALAND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NORWAY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ectPr>
          <w:pgSz w:w="11900" w:h="16838" w:orient="portrait"/>
          <w:cols w:equalWidth="0" w:num="1">
            <w:col w:w="11420"/>
          </w:cols>
          <w:pgMar w:left="240" w:top="118" w:right="239" w:bottom="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PHILIPPINES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Participant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a Polish resident transfers funds in excess of €15,000 into Poland, the funds must be transferred via a Polish bank account or financial institution. Polish residents are required to retain the documents connected with a foreign exchange transaction for a period of five years, as measured from the end of the year in which such transaction occurred.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English Language Consent</w:t>
      </w:r>
      <w:r>
        <w:rPr>
          <w:rFonts w:ascii="Times New Roman" w:cs="Times New Roman" w:eastAsia="Times New Roman" w:hAnsi="Times New Roman"/>
          <w:sz w:val="20"/>
          <w:szCs w:val="20"/>
          <w:color w:val="auto"/>
        </w:rPr>
        <w:t>. Participant hereby expressly declares that Participant has full knowledge of the English language and have read, understood and fully accept and agree with the terms and conditions established in the Plan and the Agreement.</w:t>
      </w:r>
    </w:p>
    <w:p>
      <w:pPr>
        <w:spacing w:after="0" w:line="15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Consentimento de Lingua Inglesa</w:t>
      </w:r>
      <w:r>
        <w:rPr>
          <w:rFonts w:ascii="Times New Roman" w:cs="Times New Roman" w:eastAsia="Times New Roman" w:hAnsi="Times New Roman"/>
          <w:sz w:val="20"/>
          <w:szCs w:val="20"/>
          <w:i w:val="1"/>
          <w:iCs w:val="1"/>
          <w:color w:val="auto"/>
        </w:rPr>
        <w:t>. O beneficiário pelo presente declara expressamente que tem pleno conhecimento da língua Inglesa e que leu, compreendeu e totalmente aceitou e concordou com os termos e condições estabelecidas no Plano e no Acordo.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is a resident of Portugal and acquires Shares under the Plan, Participant may be required to file a report with the Portuguese Central Bank for statistical purposes (unless Participant arranges to have the Shares deposited with a Portuguese financial intermediary, in which case the intermediary will file the report for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QATAR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ROMANIA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Romanian residents are required to deposit proceeds from the sale of Shares in a bank account in Romania and may be required to provide the Romanian bank with appropriate documentation explaining the source of the funds. Romanian residents should consult their personal advisor to determine whether they will be required to submit such documentation to the Romanian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6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w:t>
      </w:r>
    </w:p>
    <w:p>
      <w:pPr>
        <w:spacing w:after="0" w:line="187"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9"/>
          <w:szCs w:val="19"/>
          <w:u w:val="single" w:color="auto"/>
          <w:color w:val="auto"/>
        </w:rPr>
        <w:t>Chief Executive Officer and Director Notification Obligation</w:t>
      </w:r>
      <w:r>
        <w:rPr>
          <w:rFonts w:ascii="Times New Roman" w:cs="Times New Roman" w:eastAsia="Times New Roman" w:hAnsi="Times New Roman"/>
          <w:sz w:val="19"/>
          <w:szCs w:val="19"/>
          <w:color w:val="auto"/>
        </w:rPr>
        <w:t>. If Participant is the Chief Executive Officer (“CEO”) or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w:t>
      </w:r>
    </w:p>
    <w:p>
      <w:pPr>
        <w:sectPr>
          <w:pgSz w:w="11900" w:h="16838" w:orient="portrait"/>
          <w:cols w:equalWidth="0" w:num="1">
            <w:col w:w="11420"/>
          </w:cols>
          <w:pgMar w:left="240" w:top="114" w:right="239" w:bottom="0" w:gutter="0" w:footer="0" w:header="0"/>
        </w:sectPr>
      </w:pPr>
    </w:p>
    <w:bookmarkStart w:id="117" w:name="page118"/>
    <w:bookmarkEnd w:id="117"/>
    <w:p>
      <w:pPr>
        <w:spacing w:after="0" w:line="2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20"/>
          <w:szCs w:val="20"/>
          <w:color w:val="auto"/>
        </w:rPr>
        <w:t>Subsidiary or related entity. In addition, a notification must be made of Participant’s interests in the Company or any Subsidiary or related entity within two (2) business days of becoming the CEO or a director, associate director or shadow director of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For purposes of the Award, a termination of employment includes any termination that is deemed an “unfair dismissal” or a “constructive dismissal.”</w:t>
      </w:r>
    </w:p>
    <w:p>
      <w:pPr>
        <w:spacing w:after="0" w:line="16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Labor Law Acknowledgement</w:t>
      </w:r>
      <w:r>
        <w:rPr>
          <w:rFonts w:ascii="Times New Roman" w:cs="Times New Roman" w:eastAsia="Times New Roman" w:hAnsi="Times New Roman"/>
          <w:sz w:val="20"/>
          <w:szCs w:val="20"/>
          <w:color w:val="auto"/>
        </w:rPr>
        <w:t>. As a condition of receipt of the Award, Participant acknowledges that he or she understands and agrees to participation in the Plan and that he or she has received a copy of the Plan.</w:t>
      </w:r>
    </w:p>
    <w:p>
      <w:pPr>
        <w:spacing w:after="0" w:line="16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any grant is given on the assumption and condition that it shall not become a part of any employment contract (either with the Company or any of its Subsidiaries) and shall not be considered a mandatory benefit, salary for any purposes (including severance compensation) or any other right whatsoever.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w:t>
      </w:r>
    </w:p>
    <w:p>
      <w:pPr>
        <w:spacing w:after="0" w:line="19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Furthermore, Participant understands that the Award is a conditional right. Except as determined by the Committee or as provided in the Agreement, Participant shall forfeit any unvested Award upon termination of employment. The terms of this provision apply even if Participant is considered to be unfairly dismissed without good cause (i.e.,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xml:space="preserve">. Participant must declare the acquisition and sale of Shares to the </w:t>
      </w:r>
      <w:r>
        <w:rPr>
          <w:rFonts w:ascii="Times New Roman" w:cs="Times New Roman" w:eastAsia="Times New Roman" w:hAnsi="Times New Roman"/>
          <w:sz w:val="20"/>
          <w:szCs w:val="20"/>
          <w:i w:val="1"/>
          <w:iCs w:val="1"/>
          <w:color w:val="auto"/>
        </w:rPr>
        <w:t>Dirección General de Comercio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Inversiones </w:t>
      </w:r>
      <w:r>
        <w:rPr>
          <w:rFonts w:ascii="Times New Roman" w:cs="Times New Roman" w:eastAsia="Times New Roman" w:hAnsi="Times New Roman"/>
          <w:sz w:val="20"/>
          <w:szCs w:val="20"/>
          <w:color w:val="auto"/>
        </w:rPr>
        <w:t>(“DGCI”) for statistical purposes. Participant also must declare the ownership of any Shares with the DGCI each January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while the Shares are owned, unless the amount of Shares acquired or sold exceeds the applicable threshold (currently €1,502,530), or Participant holds 10% or more of the share capital of the Company or other such amount that would entitle Participant to join the Board, in which case the filing is due within one month after the sale.</w:t>
      </w:r>
    </w:p>
    <w:p>
      <w:pPr>
        <w:spacing w:after="0" w:line="18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When receiving foreign currency payments derived from the ownership of Shares (i.e., dividends or sale proceeds) in excess of €50,000, Participant must inform the financial institution receiving the payment of the basis upon which such payment is made. Participant will need to provide the following information: (i) Participant’s name, address, and fiscal identification number; (ii) the name and corporate domicile of the Company; (iii) the amount of the payment and the currency used; (iv) the country of origin; (v) the reasons for the payment; and (vi) further information that may be required.</w:t>
      </w:r>
    </w:p>
    <w:p>
      <w:pPr>
        <w:spacing w:after="0" w:line="1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No “offer of securities to the public,” as defined under Spanish law, has taken place or will take place in the Spanish territory in connection with the Award. The Agreement has not been nor will it be registered with the </w:t>
      </w:r>
      <w:r>
        <w:rPr>
          <w:rFonts w:ascii="Times New Roman" w:cs="Times New Roman" w:eastAsia="Times New Roman" w:hAnsi="Times New Roman"/>
          <w:sz w:val="20"/>
          <w:szCs w:val="20"/>
          <w:i w:val="1"/>
          <w:iCs w:val="1"/>
          <w:color w:val="auto"/>
        </w:rPr>
        <w:t>Comisión Nacional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del Mercado de Valores</w:t>
      </w:r>
      <w:r>
        <w:rPr>
          <w:rFonts w:ascii="Times New Roman" w:cs="Times New Roman" w:eastAsia="Times New Roman" w:hAnsi="Times New Roman"/>
          <w:sz w:val="20"/>
          <w:szCs w:val="20"/>
          <w:color w:val="auto"/>
        </w:rPr>
        <w:t>, and does not constitute a public offering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Participant acknowledges and agrees to consent to the handling registration and publication of personal data according to the Swedish Personal Data Act, if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SWITZERLAND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grant of Restricted Stock Units and the issuance of any Shares is not intended to be a public offering in Switzerland and is therefore not subject to registration in Switzerland. Neither this document nor any other materials relating to the grant of Restricted Stock Units constitutes a prospectus as such term is understood pursuant to article 652a of the Swiss Code of Obligations, and neither this document nor any other materials relating to the Restricted Stock Units may be publicly distributed nor otherwise made publicly available in Switzerland.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The offer of participation in the Plan is available only for Employees. The offer of participation in the Plan is not a public offer of securities by a Taiwanese company.</w:t>
      </w:r>
    </w:p>
    <w:p>
      <w:pPr>
        <w:spacing w:after="0" w:line="16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Taiwanese residents may acquire and remit foreign currency (including funds to purchase or proceeds from the sale of Shares) into and out of Taiwan up to US$5 million per year without submission of supporting documentation. If the</w:t>
      </w:r>
    </w:p>
    <w:p>
      <w:pPr>
        <w:sectPr>
          <w:pgSz w:w="11900" w:h="16863" w:orient="portrait"/>
          <w:cols w:equalWidth="0" w:num="1">
            <w:col w:w="11420"/>
          </w:cols>
          <w:pgMar w:left="240" w:top="118" w:right="239" w:bottom="0" w:gutter="0" w:footer="0" w:header="0"/>
        </w:sectPr>
      </w:pPr>
    </w:p>
    <w:bookmarkStart w:id="118" w:name="page119"/>
    <w:bookmarkEnd w:id="118"/>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THAILAND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realizes US$50,000 or more in a single transaction from the sale of Shares or the payment of dividends, he or she is required to repatriate the funds to Thailand immediately following the receipt of the funds and to then either convert such repatriated funds into Thai Baht or deposit the funds into a foreign currency account opened with any commercial bank in Thailand within 360 days of repatriation. Further, for repatriated funds of US$50,000 or more, Participant must specifically report the inward remittance to the Bank of Thailand on a Foreign Exchange Transaction Form. Participant is personally responsible for complying with exchange control restrictions in Thailand.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TURKEY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spacing w:after="0" w:line="175"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UNITED ARAB EMIRATES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This Restricted Stock Unit Award has not been approved or licensed by the United Arab Emirates (“UAE”) Central Bank or any other relevant licensing authorities or governmental agencies in the UAE. This Restricted Stock Unit Award is strictly private and confidential and has not been reviewed by, deposited or registered with the UAE Central Bank or any other licensing authority or governmental agencies in the United Arab Emirates. This Award is being issued from outside the United Arab Emirates to a limited number of Employees of Autodesk Middle East (Representative Office) and must not be provided to any person other than the original recipient and may not be reproduced or used for any other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As detailed in Section 2 of the Agreement and notwithstanding any discretion contained in the Plan or anything to the contrary in the Agreement, the Restricted Stock Units are payable only in Shares.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The following provisions supplement Section 8 of the Agreement:</w:t>
      </w:r>
    </w:p>
    <w:p>
      <w:pPr>
        <w:spacing w:after="0" w:line="2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If payment or withholding of any income tax that the Company or the Employer may be required to account to Her Majesty’s Revenue and Customs (“HMRC”) is not made within 90 days of the end of the tax year during which the event giving rise to the liability occurs (the “Due Date”), or such other period specified in Section 222(1)(c) of the U.K. Income Tax (Earnings and Pensions) Act 2003, the amount of any uncollected income tax will constitute a loan owed by Participant to the Employer, effective on the Due Date. Participant agrees that the loan will bear interest at the then-current Official Rate of HMRC, it will be immediately due and repayable, and the Company or the Employer may recover it at any time thereafter by any of the means referred to in Section 7 of the Agreement. Notwithstanding the foregoing, if Participant is a director or executive officer of the Company (within the meaning of Section 13(k) of the Exchange Act), Participant will not be eligible for such a loan to cover the tax liability. In the event that Participant is a director or executive officer and any income tax is not collected from or paid by Participant by the Due Date, the amount of any uncollected income tax may constitute a benefit to Participant on which additional income tax and National Insurance contributions (“NICs”) may be payable. Participant will be responsible for reporting and paying any income tax due on this additional benefit directly to HMRC under the self-assessment regime and reimbursing the Employer for the value of the NICs due on this additional benefit. If Participant fails to comply with his or her obligations in connection with the income tax as described in this section, the Company may refuse to deliver the Shares to Participant, without any liability to the Company or the Employer.</w:t>
      </w:r>
    </w:p>
    <w:p>
      <w:pPr>
        <w:spacing w:after="0" w:line="19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addition, Participant agrees that the Company and/or the Employer may calculate the Tax-Related Items to be withheld and accounted for by reference to the maximum applicable rates, without prejudice to any right Participant may have to recover any overpayment from the relevant tax authorities.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18" w:right="239" w:bottom="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September 21, 2011)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389" w:lineRule="exact"/>
        <w:rPr>
          <w:sz w:val="20"/>
          <w:szCs w:val="20"/>
          <w:color w:val="auto"/>
        </w:rPr>
      </w:pPr>
    </w:p>
    <w:p>
      <w:pPr>
        <w:ind w:right="380" w:firstLine="656"/>
        <w:spacing w:after="0" w:line="268" w:lineRule="auto"/>
        <w:tabs>
          <w:tab w:leader="none" w:pos="210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provisions of this Sub-Plan shall be governed by the U.S. Plan, except as otherwise provided herein.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Sub-Plan became effective on the designated Effective Date.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All definitions in the Sub-Plan shall be interpreted in accordance with the U.S. Plan except as otherwise provided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ind w:right="120" w:firstLine="180"/>
        <w:spacing w:after="0" w:line="252" w:lineRule="auto"/>
        <w:rPr>
          <w:sz w:val="20"/>
          <w:szCs w:val="20"/>
          <w:color w:val="auto"/>
        </w:rPr>
      </w:pPr>
      <w:r>
        <w:rPr>
          <w:rFonts w:ascii="Times New Roman" w:cs="Times New Roman" w:eastAsia="Times New Roman" w:hAnsi="Times New Roman"/>
          <w:sz w:val="22"/>
          <w:szCs w:val="22"/>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3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ind w:right="60" w:firstLine="180"/>
        <w:spacing w:after="0" w:line="285" w:lineRule="auto"/>
        <w:rPr>
          <w:sz w:val="20"/>
          <w:szCs w:val="20"/>
          <w:color w:val="auto"/>
        </w:rPr>
      </w:pPr>
      <w:r>
        <w:rPr>
          <w:rFonts w:ascii="Times New Roman" w:cs="Times New Roman" w:eastAsia="Times New Roman" w:hAnsi="Times New Roman"/>
          <w:sz w:val="21"/>
          <w:szCs w:val="21"/>
          <w:color w:val="auto"/>
        </w:rPr>
        <w:t>“Effective Date” shall mean December 6, 2007; provided, however, that any Affiliate which extends the benefits of this Sub-Plan to its Employees after December 6, 2007, shall designate a subsequent Effective Date with respect to its employee-Participants.</w:t>
      </w:r>
    </w:p>
    <w:p>
      <w:pPr>
        <w:spacing w:after="0" w:line="3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“Employee” shall mean any person employed by an Affiliate.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572" w:right="239" w:bottom="1440" w:gutter="0" w:footer="0" w:header="0"/>
        </w:sectPr>
      </w:pPr>
    </w:p>
    <w:bookmarkStart w:id="120" w:name="page121"/>
    <w:bookmarkEnd w:id="120"/>
    <w:p>
      <w:pPr>
        <w:ind w:left="1300"/>
        <w:spacing w:after="0"/>
        <w:rPr>
          <w:sz w:val="20"/>
          <w:szCs w:val="20"/>
          <w:color w:val="auto"/>
        </w:rPr>
      </w:pPr>
      <w:r>
        <w:rPr>
          <w:rFonts w:ascii="Times New Roman" w:cs="Times New Roman" w:eastAsia="Times New Roman" w:hAnsi="Times New Roman"/>
          <w:sz w:val="22"/>
          <w:szCs w:val="22"/>
          <w:color w:val="auto"/>
        </w:rPr>
        <w:t>(d)</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“Participant” means any Employee who meets the eligibility and participation requirements set forth in Sections 3 and 4, below.</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w:t>
      </w:r>
    </w:p>
    <w:p>
      <w:pPr>
        <w:spacing w:after="0" w:line="28" w:lineRule="exact"/>
        <w:rPr>
          <w:sz w:val="20"/>
          <w:szCs w:val="20"/>
          <w:color w:val="auto"/>
        </w:rPr>
      </w:pPr>
    </w:p>
    <w:p>
      <w:pPr>
        <w:ind w:firstLine="180"/>
        <w:spacing w:after="0" w:line="249" w:lineRule="auto"/>
        <w:rPr>
          <w:sz w:val="20"/>
          <w:szCs w:val="20"/>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individual who is (a) an Employee as of the last day of the Enrollment Period for the applicable Offering Period, and (b) employed by an Affiliate (or legal 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ind w:right="140" w:firstLine="180"/>
        <w:spacing w:after="0" w:line="249" w:lineRule="auto"/>
        <w:rPr>
          <w:sz w:val="20"/>
          <w:szCs w:val="20"/>
          <w:color w:val="auto"/>
        </w:rPr>
      </w:pPr>
      <w:r>
        <w:rPr>
          <w:rFonts w:ascii="Times New Roman" w:cs="Times New Roman" w:eastAsia="Times New Roman" w:hAnsi="Times New Roman"/>
          <w:sz w:val="22"/>
          <w:szCs w:val="22"/>
          <w:color w:val="auto"/>
        </w:rPr>
        <w:t>An eligible Employee may become a Participant in the Plan by completing a subscription agreement authorizing payroll deductions or other approved contributions on the 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spacing w:after="0" w:line="3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jc w:val="both"/>
        <w:ind w:right="380" w:firstLine="180"/>
        <w:spacing w:after="0" w:line="249" w:lineRule="auto"/>
        <w:rPr>
          <w:sz w:val="20"/>
          <w:szCs w:val="20"/>
          <w:color w:val="auto"/>
        </w:rPr>
      </w:pPr>
      <w:r>
        <w:rPr>
          <w:rFonts w:ascii="Times New Roman" w:cs="Times New Roman" w:eastAsia="Times New Roman" w:hAnsi="Times New Roman"/>
          <w:sz w:val="22"/>
          <w:szCs w:val="22"/>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Payroll Deductions and Other Approved Contributions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jc w:val="both"/>
        <w:ind w:right="300" w:firstLine="180"/>
        <w:spacing w:after="0" w:line="252" w:lineRule="auto"/>
        <w:rPr>
          <w:sz w:val="20"/>
          <w:szCs w:val="20"/>
          <w:color w:val="auto"/>
        </w:rPr>
      </w:pPr>
      <w:r>
        <w:rPr>
          <w:rFonts w:ascii="Times New Roman" w:cs="Times New Roman" w:eastAsia="Times New Roman" w:hAnsi="Times New Roman"/>
          <w:sz w:val="22"/>
          <w:szCs w:val="22"/>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3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ind w:right="240" w:firstLine="180"/>
        <w:spacing w:after="0" w:line="249" w:lineRule="auto"/>
        <w:rPr>
          <w:sz w:val="20"/>
          <w:szCs w:val="20"/>
          <w:color w:val="auto"/>
        </w:rPr>
      </w:pPr>
      <w:r>
        <w:rPr>
          <w:rFonts w:ascii="Times New Roman" w:cs="Times New Roman" w:eastAsia="Times New Roman" w:hAnsi="Times New Roman"/>
          <w:sz w:val="22"/>
          <w:szCs w:val="22"/>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80"/>
          </w:cols>
          <w:pgMar w:left="240" w:top="585" w:right="27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may be commingled with the general assets of the Company or the Affiliate and may be used for general corporate purposes, except as otherwise required by local law.</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w:t>
      </w:r>
    </w:p>
    <w:p>
      <w:pPr>
        <w:spacing w:after="0" w:line="28" w:lineRule="exact"/>
        <w:rPr>
          <w:sz w:val="20"/>
          <w:szCs w:val="20"/>
          <w:color w:val="auto"/>
        </w:rPr>
      </w:pPr>
    </w:p>
    <w:p>
      <w:pPr>
        <w:ind w:right="140" w:firstLine="180"/>
        <w:spacing w:after="0" w:line="260" w:lineRule="auto"/>
        <w:rPr>
          <w:sz w:val="20"/>
          <w:szCs w:val="20"/>
          <w:color w:val="auto"/>
        </w:rPr>
      </w:pPr>
      <w:r>
        <w:rPr>
          <w:rFonts w:ascii="Times New Roman" w:cs="Times New Roman" w:eastAsia="Times New Roman" w:hAnsi="Times New Roman"/>
          <w:sz w:val="21"/>
          <w:szCs w:val="21"/>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grant of the option and the purchase price of the option shall be in accordance with Section 7 of the 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The exercise of the option shall be in accordance with Section 8 of the U.S. Plan.</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Withdrawal; Termination of Employment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ind w:right="80" w:firstLine="180"/>
        <w:spacing w:after="0" w:line="262" w:lineRule="auto"/>
        <w:rPr>
          <w:sz w:val="20"/>
          <w:szCs w:val="20"/>
          <w:color w:val="auto"/>
        </w:rPr>
      </w:pPr>
      <w:r>
        <w:rPr>
          <w:rFonts w:ascii="Times New Roman" w:cs="Times New Roman" w:eastAsia="Times New Roman" w:hAnsi="Times New Roman"/>
          <w:sz w:val="21"/>
          <w:szCs w:val="21"/>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jc w:val="both"/>
        <w:ind w:right="360" w:firstLine="180"/>
        <w:spacing w:after="0" w:line="249" w:lineRule="auto"/>
        <w:rPr>
          <w:sz w:val="20"/>
          <w:szCs w:val="20"/>
          <w:color w:val="auto"/>
        </w:rPr>
      </w:pPr>
      <w:r>
        <w:rPr>
          <w:rFonts w:ascii="Times New Roman" w:cs="Times New Roman" w:eastAsia="Times New Roman" w:hAnsi="Times New Roman"/>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3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w:t>
      </w:r>
    </w:p>
    <w:p>
      <w:pPr>
        <w:spacing w:after="0" w:line="28" w:lineRule="exact"/>
        <w:rPr>
          <w:sz w:val="20"/>
          <w:szCs w:val="20"/>
          <w:color w:val="auto"/>
        </w:rPr>
      </w:pPr>
    </w:p>
    <w:p>
      <w:pPr>
        <w:ind w:right="520" w:firstLine="180"/>
        <w:spacing w:after="0" w:line="261" w:lineRule="auto"/>
        <w:rPr>
          <w:sz w:val="20"/>
          <w:szCs w:val="20"/>
          <w:color w:val="auto"/>
        </w:rPr>
      </w:pPr>
      <w:r>
        <w:rPr>
          <w:rFonts w:ascii="Times New Roman" w:cs="Times New Roman" w:eastAsia="Times New Roman" w:hAnsi="Times New Roman"/>
          <w:sz w:val="22"/>
          <w:szCs w:val="22"/>
          <w:color w:val="auto"/>
        </w:rPr>
        <w:t>A Participant’s withdrawal from an offering will not have any effect upon his or her eligibility to participate in a succeeding offering or in any similar plan which may hereafter be adopted by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85" w:right="2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22"/>
          <w:szCs w:val="22"/>
          <w:color w:val="auto"/>
        </w:rPr>
        <w:t>9.</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Transfer of Employment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ind w:firstLine="180"/>
        <w:spacing w:after="0" w:line="246" w:lineRule="auto"/>
        <w:rPr>
          <w:sz w:val="20"/>
          <w:szCs w:val="20"/>
          <w:color w:val="auto"/>
        </w:rPr>
      </w:pPr>
      <w:r>
        <w:rPr>
          <w:rFonts w:ascii="Times New Roman" w:cs="Times New Roman" w:eastAsia="Times New Roman" w:hAnsi="Times New Roman"/>
          <w:sz w:val="22"/>
          <w:szCs w:val="22"/>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ind w:firstLine="180"/>
        <w:spacing w:after="0" w:line="247" w:lineRule="auto"/>
        <w:rPr>
          <w:sz w:val="20"/>
          <w:szCs w:val="20"/>
          <w:color w:val="auto"/>
        </w:rPr>
      </w:pPr>
      <w:r>
        <w:rPr>
          <w:rFonts w:ascii="Times New Roman" w:cs="Times New Roman" w:eastAsia="Times New Roman" w:hAnsi="Times New Roman"/>
          <w:sz w:val="22"/>
          <w:szCs w:val="22"/>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w:t>
      </w:r>
    </w:p>
    <w:p>
      <w:pPr>
        <w:spacing w:after="0" w:line="28" w:lineRule="exact"/>
        <w:rPr>
          <w:sz w:val="20"/>
          <w:szCs w:val="20"/>
          <w:color w:val="auto"/>
        </w:rPr>
      </w:pPr>
    </w:p>
    <w:p>
      <w:pPr>
        <w:ind w:right="40" w:firstLine="180"/>
        <w:spacing w:after="0" w:line="261" w:lineRule="auto"/>
        <w:rPr>
          <w:sz w:val="20"/>
          <w:szCs w:val="20"/>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No interest shall accrue on the payroll deductions or other approved contributions of a Participant in the Sub-Plan unless required by local law.</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8"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2"/>
          <w:szCs w:val="22"/>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3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Participant will have no interest or voting right in shares covered by his or her option until such option has been exercised.</w:t>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w:t>
      </w:r>
    </w:p>
    <w:p>
      <w:pPr>
        <w:spacing w:after="0" w:line="28" w:lineRule="exact"/>
        <w:rPr>
          <w:sz w:val="20"/>
          <w:szCs w:val="20"/>
          <w:color w:val="auto"/>
        </w:rPr>
      </w:pPr>
    </w:p>
    <w:p>
      <w:pPr>
        <w:ind w:right="220" w:firstLine="180"/>
        <w:spacing w:after="0" w:line="261" w:lineRule="auto"/>
        <w:rPr>
          <w:sz w:val="20"/>
          <w:szCs w:val="20"/>
          <w:color w:val="auto"/>
        </w:rPr>
      </w:pPr>
      <w:r>
        <w:rPr>
          <w:rFonts w:ascii="Times New Roman" w:cs="Times New Roman" w:eastAsia="Times New Roman" w:hAnsi="Times New Roman"/>
          <w:sz w:val="22"/>
          <w:szCs w:val="22"/>
          <w:color w:val="auto"/>
        </w:rPr>
        <w:t>Shares to be delivered to a Participant under the Sub-Plan will be registered in the name of the Participant or in the name of the Participant and his or her spouse.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585" w:right="25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22"/>
          <w:szCs w:val="22"/>
          <w:color w:val="auto"/>
        </w:rPr>
        <w:t>12.</w:t>
      </w:r>
    </w:p>
    <w:p>
      <w:pPr>
        <w:spacing w:after="0" w:line="28" w:lineRule="exact"/>
        <w:rPr>
          <w:sz w:val="20"/>
          <w:szCs w:val="20"/>
          <w:color w:val="auto"/>
        </w:rPr>
      </w:pPr>
    </w:p>
    <w:p>
      <w:pPr>
        <w:ind w:firstLine="180"/>
        <w:spacing w:after="0" w:line="259" w:lineRule="auto"/>
        <w:rPr>
          <w:sz w:val="20"/>
          <w:szCs w:val="20"/>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13.</w:t>
      </w:r>
    </w:p>
    <w:p>
      <w:pPr>
        <w:spacing w:after="0" w:line="28" w:lineRule="exact"/>
        <w:rPr>
          <w:sz w:val="20"/>
          <w:szCs w:val="20"/>
          <w:color w:val="auto"/>
        </w:rPr>
      </w:pPr>
    </w:p>
    <w:p>
      <w:pPr>
        <w:ind w:right="20" w:firstLine="180"/>
        <w:spacing w:after="0" w:line="260" w:lineRule="auto"/>
        <w:rPr>
          <w:sz w:val="20"/>
          <w:szCs w:val="20"/>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w:t>
      </w:r>
    </w:p>
    <w:p>
      <w:pPr>
        <w:spacing w:after="0" w:line="28" w:lineRule="exact"/>
        <w:rPr>
          <w:sz w:val="20"/>
          <w:szCs w:val="20"/>
          <w:color w:val="auto"/>
        </w:rPr>
      </w:pPr>
    </w:p>
    <w:p>
      <w:pPr>
        <w:ind w:firstLine="180"/>
        <w:spacing w:after="0" w:line="252" w:lineRule="auto"/>
        <w:rPr>
          <w:sz w:val="20"/>
          <w:szCs w:val="20"/>
          <w:color w:val="auto"/>
        </w:rPr>
      </w:pPr>
      <w:r>
        <w:rPr>
          <w:rFonts w:ascii="Times New Roman" w:cs="Times New Roman" w:eastAsia="Times New Roman" w:hAnsi="Times New Roman"/>
          <w:sz w:val="22"/>
          <w:szCs w:val="22"/>
          <w:u w:val="single" w:color="auto"/>
          <w:color w:val="auto"/>
        </w:rPr>
        <w:t>Use of Funds</w:t>
      </w:r>
      <w:r>
        <w:rPr>
          <w:rFonts w:ascii="Times New Roman" w:cs="Times New Roman" w:eastAsia="Times New Roman" w:hAnsi="Times New Roman"/>
          <w:sz w:val="22"/>
          <w:szCs w:val="22"/>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w:t>
      </w:r>
    </w:p>
    <w:p>
      <w:pPr>
        <w:spacing w:after="0" w:line="28" w:lineRule="exact"/>
        <w:rPr>
          <w:sz w:val="20"/>
          <w:szCs w:val="20"/>
          <w:color w:val="auto"/>
        </w:rPr>
      </w:pPr>
    </w:p>
    <w:p>
      <w:pPr>
        <w:ind w:right="260" w:firstLine="180"/>
        <w:spacing w:after="0" w:line="249" w:lineRule="auto"/>
        <w:rPr>
          <w:sz w:val="20"/>
          <w:szCs w:val="20"/>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16.</w:t>
      </w:r>
    </w:p>
    <w:p>
      <w:pPr>
        <w:spacing w:after="0" w:line="28" w:lineRule="exact"/>
        <w:rPr>
          <w:sz w:val="20"/>
          <w:szCs w:val="20"/>
          <w:color w:val="auto"/>
        </w:rPr>
      </w:pPr>
    </w:p>
    <w:p>
      <w:pPr>
        <w:jc w:val="both"/>
        <w:ind w:right="180" w:firstLine="180"/>
        <w:spacing w:after="0" w:line="252" w:lineRule="auto"/>
        <w:rPr>
          <w:sz w:val="20"/>
          <w:szCs w:val="20"/>
          <w:color w:val="auto"/>
        </w:rPr>
      </w:pP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585" w:right="259" w:bottom="1440" w:gutter="0" w:footer="0" w:header="0"/>
        </w:sectPr>
      </w:pPr>
    </w:p>
    <w:bookmarkStart w:id="124" w:name="page125"/>
    <w:bookmarkEnd w:id="124"/>
    <w:p>
      <w:pPr>
        <w:ind w:firstLine="1297"/>
        <w:spacing w:after="0" w:line="247" w:lineRule="auto"/>
        <w:rPr>
          <w:sz w:val="20"/>
          <w:szCs w:val="20"/>
          <w:color w:val="auto"/>
        </w:rPr>
      </w:pPr>
      <w:r>
        <w:rPr>
          <w:rFonts w:ascii="Times New Roman" w:cs="Times New Roman" w:eastAsia="Times New Roman" w:hAnsi="Times New Roman"/>
          <w:sz w:val="22"/>
          <w:szCs w:val="22"/>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17.</w:t>
      </w:r>
    </w:p>
    <w:p>
      <w:pPr>
        <w:spacing w:after="0" w:line="28" w:lineRule="exact"/>
        <w:rPr>
          <w:sz w:val="20"/>
          <w:szCs w:val="20"/>
          <w:color w:val="auto"/>
        </w:rPr>
      </w:pPr>
    </w:p>
    <w:p>
      <w:pPr>
        <w:jc w:val="both"/>
        <w:ind w:right="60" w:firstLine="180"/>
        <w:spacing w:after="0" w:line="252" w:lineRule="auto"/>
        <w:rPr>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w:t>
      </w:r>
    </w:p>
    <w:p>
      <w:pPr>
        <w:spacing w:after="0" w:line="28" w:lineRule="exact"/>
        <w:rPr>
          <w:sz w:val="20"/>
          <w:szCs w:val="20"/>
          <w:color w:val="auto"/>
        </w:rPr>
      </w:pPr>
    </w:p>
    <w:p>
      <w:pPr>
        <w:ind w:right="520" w:firstLine="180"/>
        <w:spacing w:after="0" w:line="261" w:lineRule="auto"/>
        <w:rPr>
          <w:sz w:val="20"/>
          <w:szCs w:val="20"/>
          <w:color w:val="auto"/>
        </w:rPr>
      </w:pPr>
      <w:r>
        <w:rPr>
          <w:rFonts w:ascii="Times New Roman" w:cs="Times New Roman" w:eastAsia="Times New Roman" w:hAnsi="Times New Roman"/>
          <w:sz w:val="22"/>
          <w:szCs w:val="22"/>
          <w:u w:val="single" w:color="auto"/>
          <w:color w:val="auto"/>
        </w:rPr>
        <w:t>Term of Sub-Plan</w:t>
      </w:r>
      <w:r>
        <w:rPr>
          <w:rFonts w:ascii="Times New Roman" w:cs="Times New Roman" w:eastAsia="Times New Roman" w:hAnsi="Times New Roman"/>
          <w:sz w:val="22"/>
          <w:szCs w:val="22"/>
          <w:color w:val="auto"/>
        </w:rPr>
        <w:t>. The Sub-Plan became effective on December 6, 2007, and shall continue in effect until the expiration or termination of the U.S. Plan.</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19.</w:t>
      </w:r>
    </w:p>
    <w:p>
      <w:pPr>
        <w:spacing w:after="0" w:line="28" w:lineRule="exact"/>
        <w:rPr>
          <w:sz w:val="20"/>
          <w:szCs w:val="20"/>
          <w:color w:val="auto"/>
        </w:rPr>
      </w:pPr>
    </w:p>
    <w:p>
      <w:pPr>
        <w:ind w:right="220" w:firstLine="180"/>
        <w:spacing w:after="0" w:line="247" w:lineRule="auto"/>
        <w:rPr>
          <w:sz w:val="20"/>
          <w:szCs w:val="20"/>
          <w:color w:val="auto"/>
        </w:rPr>
      </w:pPr>
      <w:r>
        <w:rPr>
          <w:rFonts w:ascii="Times New Roman" w:cs="Times New Roman" w:eastAsia="Times New Roman" w:hAnsi="Times New Roman"/>
          <w:sz w:val="22"/>
          <w:szCs w:val="22"/>
          <w:u w:val="single" w:color="auto"/>
          <w:color w:val="auto"/>
        </w:rPr>
        <w:t>Governing Laws</w:t>
      </w:r>
      <w:r>
        <w:rPr>
          <w:rFonts w:ascii="Times New Roman" w:cs="Times New Roman" w:eastAsia="Times New Roman" w:hAnsi="Times New Roman"/>
          <w:sz w:val="22"/>
          <w:szCs w:val="22"/>
          <w:color w:val="auto"/>
        </w:rPr>
        <w:t>. Except as otherwise expressly required under the laws of the local jurisdiction, the Sub-Plan and all rights hereunder shall be governed by and construed in accordance with the laws of the state of California, United States of America without resort to that state’s conflict-of-laws rules.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40"/>
          </w:cols>
          <w:pgMar w:left="240" w:top="585" w:right="319" w:bottom="1440" w:gutter="0" w:footer="0" w:header="0"/>
        </w:sectPr>
      </w:pPr>
    </w:p>
    <w:bookmarkStart w:id="125" w:name="page126"/>
    <w:bookmarkEnd w:id="125"/>
    <w:p>
      <w:pPr>
        <w:ind w:left="52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ind w:left="2840"/>
        <w:spacing w:after="0" w:line="259" w:lineRule="auto"/>
        <w:rPr>
          <w:sz w:val="20"/>
          <w:szCs w:val="20"/>
          <w:color w:val="auto"/>
        </w:rPr>
      </w:pPr>
      <w:r>
        <w:rPr>
          <w:rFonts w:ascii="Times New Roman" w:cs="Times New Roman" w:eastAsia="Times New Roman" w:hAnsi="Times New Roman"/>
          <w:sz w:val="22"/>
          <w:szCs w:val="22"/>
          <w:b w:val="1"/>
          <w:bCs w:val="1"/>
          <w:color w:val="auto"/>
        </w:rPr>
        <w:t>Countries with Eligible Employees of Affiliates Participating in the International Employee Stock Purchase Plan (as of June 15, 2016)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Argentina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Australia</w:t>
      </w:r>
    </w:p>
    <w:p>
      <w:pPr>
        <w:spacing w:after="0"/>
        <w:rPr>
          <w:sz w:val="20"/>
          <w:szCs w:val="20"/>
          <w:color w:val="auto"/>
        </w:rPr>
      </w:pPr>
      <w:r>
        <w:rPr>
          <w:rFonts w:ascii="Times New Roman" w:cs="Times New Roman" w:eastAsia="Times New Roman" w:hAnsi="Times New Roman"/>
          <w:sz w:val="20"/>
          <w:szCs w:val="20"/>
          <w:color w:val="auto"/>
        </w:rPr>
        <w:t>Austria</w:t>
      </w:r>
    </w:p>
    <w:p>
      <w:pPr>
        <w:spacing w:after="0"/>
        <w:rPr>
          <w:sz w:val="20"/>
          <w:szCs w:val="20"/>
          <w:color w:val="auto"/>
        </w:rPr>
      </w:pPr>
      <w:r>
        <w:rPr>
          <w:rFonts w:ascii="Times New Roman" w:cs="Times New Roman" w:eastAsia="Times New Roman" w:hAnsi="Times New Roman"/>
          <w:sz w:val="20"/>
          <w:szCs w:val="20"/>
          <w:color w:val="auto"/>
        </w:rPr>
        <w:t>Belgium</w:t>
      </w:r>
    </w:p>
    <w:p>
      <w:pPr>
        <w:spacing w:after="0"/>
        <w:rPr>
          <w:sz w:val="20"/>
          <w:szCs w:val="20"/>
          <w:color w:val="auto"/>
        </w:rPr>
      </w:pPr>
      <w:r>
        <w:rPr>
          <w:rFonts w:ascii="Times New Roman" w:cs="Times New Roman" w:eastAsia="Times New Roman" w:hAnsi="Times New Roman"/>
          <w:sz w:val="20"/>
          <w:szCs w:val="20"/>
          <w:color w:val="auto"/>
        </w:rPr>
        <w:t>Brazil</w:t>
      </w:r>
    </w:p>
    <w:p>
      <w:pPr>
        <w:spacing w:after="0"/>
        <w:rPr>
          <w:sz w:val="20"/>
          <w:szCs w:val="20"/>
          <w:color w:val="auto"/>
        </w:rPr>
      </w:pPr>
      <w:r>
        <w:rPr>
          <w:rFonts w:ascii="Times New Roman" w:cs="Times New Roman" w:eastAsia="Times New Roman" w:hAnsi="Times New Roman"/>
          <w:sz w:val="20"/>
          <w:szCs w:val="20"/>
          <w:color w:val="auto"/>
        </w:rPr>
        <w:t>Canada</w:t>
      </w:r>
    </w:p>
    <w:p>
      <w:pPr>
        <w:spacing w:after="0"/>
        <w:rPr>
          <w:sz w:val="20"/>
          <w:szCs w:val="20"/>
          <w:color w:val="auto"/>
        </w:rPr>
      </w:pPr>
      <w:r>
        <w:rPr>
          <w:rFonts w:ascii="Times New Roman" w:cs="Times New Roman" w:eastAsia="Times New Roman" w:hAnsi="Times New Roman"/>
          <w:sz w:val="20"/>
          <w:szCs w:val="20"/>
          <w:color w:val="auto"/>
        </w:rPr>
        <w:t>China*</w:t>
      </w:r>
    </w:p>
    <w:p>
      <w:pPr>
        <w:spacing w:after="0"/>
        <w:rPr>
          <w:sz w:val="20"/>
          <w:szCs w:val="20"/>
          <w:color w:val="auto"/>
        </w:rPr>
      </w:pPr>
      <w:r>
        <w:rPr>
          <w:rFonts w:ascii="Times New Roman" w:cs="Times New Roman" w:eastAsia="Times New Roman" w:hAnsi="Times New Roman"/>
          <w:sz w:val="20"/>
          <w:szCs w:val="20"/>
          <w:color w:val="auto"/>
        </w:rPr>
        <w:t>Colombia</w:t>
      </w:r>
    </w:p>
    <w:p>
      <w:pPr>
        <w:spacing w:after="0"/>
        <w:rPr>
          <w:sz w:val="20"/>
          <w:szCs w:val="20"/>
          <w:color w:val="auto"/>
        </w:rPr>
      </w:pPr>
      <w:r>
        <w:rPr>
          <w:rFonts w:ascii="Times New Roman" w:cs="Times New Roman" w:eastAsia="Times New Roman" w:hAnsi="Times New Roman"/>
          <w:sz w:val="20"/>
          <w:szCs w:val="20"/>
          <w:color w:val="auto"/>
        </w:rPr>
        <w:t>Czech Republic</w:t>
      </w:r>
    </w:p>
    <w:p>
      <w:pPr>
        <w:spacing w:after="0"/>
        <w:rPr>
          <w:sz w:val="20"/>
          <w:szCs w:val="20"/>
          <w:color w:val="auto"/>
        </w:rPr>
      </w:pPr>
      <w:r>
        <w:rPr>
          <w:rFonts w:ascii="Times New Roman" w:cs="Times New Roman" w:eastAsia="Times New Roman" w:hAnsi="Times New Roman"/>
          <w:sz w:val="20"/>
          <w:szCs w:val="20"/>
          <w:color w:val="auto"/>
        </w:rPr>
        <w:t>Denmark</w:t>
      </w:r>
    </w:p>
    <w:p>
      <w:pPr>
        <w:spacing w:after="0"/>
        <w:rPr>
          <w:sz w:val="20"/>
          <w:szCs w:val="20"/>
          <w:color w:val="auto"/>
        </w:rPr>
      </w:pPr>
      <w:r>
        <w:rPr>
          <w:rFonts w:ascii="Times New Roman" w:cs="Times New Roman" w:eastAsia="Times New Roman" w:hAnsi="Times New Roman"/>
          <w:sz w:val="20"/>
          <w:szCs w:val="20"/>
          <w:color w:val="auto"/>
        </w:rPr>
        <w:t>Finland</w:t>
      </w:r>
    </w:p>
    <w:p>
      <w:pPr>
        <w:spacing w:after="0"/>
        <w:rPr>
          <w:sz w:val="20"/>
          <w:szCs w:val="20"/>
          <w:color w:val="auto"/>
        </w:rPr>
      </w:pPr>
      <w:r>
        <w:rPr>
          <w:rFonts w:ascii="Times New Roman" w:cs="Times New Roman" w:eastAsia="Times New Roman" w:hAnsi="Times New Roman"/>
          <w:sz w:val="20"/>
          <w:szCs w:val="20"/>
          <w:color w:val="auto"/>
        </w:rPr>
        <w:t>France</w:t>
      </w:r>
    </w:p>
    <w:p>
      <w:pPr>
        <w:spacing w:after="0"/>
        <w:rPr>
          <w:sz w:val="20"/>
          <w:szCs w:val="20"/>
          <w:color w:val="auto"/>
        </w:rPr>
      </w:pPr>
      <w:r>
        <w:rPr>
          <w:rFonts w:ascii="Times New Roman" w:cs="Times New Roman" w:eastAsia="Times New Roman" w:hAnsi="Times New Roman"/>
          <w:sz w:val="20"/>
          <w:szCs w:val="20"/>
          <w:color w:val="auto"/>
        </w:rPr>
        <w:t>Germany</w:t>
      </w:r>
    </w:p>
    <w:p>
      <w:pPr>
        <w:spacing w:after="0"/>
        <w:rPr>
          <w:sz w:val="20"/>
          <w:szCs w:val="20"/>
          <w:color w:val="auto"/>
        </w:rPr>
      </w:pPr>
      <w:r>
        <w:rPr>
          <w:rFonts w:ascii="Times New Roman" w:cs="Times New Roman" w:eastAsia="Times New Roman" w:hAnsi="Times New Roman"/>
          <w:sz w:val="20"/>
          <w:szCs w:val="20"/>
          <w:color w:val="auto"/>
        </w:rPr>
        <w:t>Greece</w:t>
      </w:r>
    </w:p>
    <w:p>
      <w:pPr>
        <w:spacing w:after="0"/>
        <w:rPr>
          <w:sz w:val="20"/>
          <w:szCs w:val="20"/>
          <w:color w:val="auto"/>
        </w:rPr>
      </w:pPr>
      <w:r>
        <w:rPr>
          <w:rFonts w:ascii="Times New Roman" w:cs="Times New Roman" w:eastAsia="Times New Roman" w:hAnsi="Times New Roman"/>
          <w:sz w:val="20"/>
          <w:szCs w:val="20"/>
          <w:color w:val="auto"/>
        </w:rPr>
        <w:t>Hong Kong</w:t>
      </w:r>
    </w:p>
    <w:p>
      <w:pPr>
        <w:spacing w:after="0"/>
        <w:rPr>
          <w:sz w:val="20"/>
          <w:szCs w:val="20"/>
          <w:color w:val="auto"/>
        </w:rPr>
      </w:pPr>
      <w:r>
        <w:rPr>
          <w:rFonts w:ascii="Times New Roman" w:cs="Times New Roman" w:eastAsia="Times New Roman" w:hAnsi="Times New Roman"/>
          <w:sz w:val="20"/>
          <w:szCs w:val="20"/>
          <w:color w:val="auto"/>
        </w:rPr>
        <w:t>Hungary</w:t>
      </w:r>
    </w:p>
    <w:p>
      <w:pPr>
        <w:spacing w:after="0"/>
        <w:rPr>
          <w:sz w:val="20"/>
          <w:szCs w:val="20"/>
          <w:color w:val="auto"/>
        </w:rPr>
      </w:pPr>
      <w:r>
        <w:rPr>
          <w:rFonts w:ascii="Times New Roman" w:cs="Times New Roman" w:eastAsia="Times New Roman" w:hAnsi="Times New Roman"/>
          <w:sz w:val="20"/>
          <w:szCs w:val="20"/>
          <w:color w:val="auto"/>
        </w:rPr>
        <w:t>India</w:t>
      </w:r>
    </w:p>
    <w:p>
      <w:pPr>
        <w:spacing w:after="0"/>
        <w:rPr>
          <w:sz w:val="20"/>
          <w:szCs w:val="20"/>
          <w:color w:val="auto"/>
        </w:rPr>
      </w:pPr>
      <w:r>
        <w:rPr>
          <w:rFonts w:ascii="Times New Roman" w:cs="Times New Roman" w:eastAsia="Times New Roman" w:hAnsi="Times New Roman"/>
          <w:sz w:val="20"/>
          <w:szCs w:val="20"/>
          <w:color w:val="auto"/>
        </w:rPr>
        <w:t>Indonesia</w:t>
      </w:r>
    </w:p>
    <w:p>
      <w:pPr>
        <w:spacing w:after="0"/>
        <w:rPr>
          <w:sz w:val="20"/>
          <w:szCs w:val="20"/>
          <w:color w:val="auto"/>
        </w:rPr>
      </w:pPr>
      <w:r>
        <w:rPr>
          <w:rFonts w:ascii="Times New Roman" w:cs="Times New Roman" w:eastAsia="Times New Roman" w:hAnsi="Times New Roman"/>
          <w:sz w:val="20"/>
          <w:szCs w:val="20"/>
          <w:color w:val="auto"/>
        </w:rPr>
        <w:t>Ireland</w:t>
      </w:r>
    </w:p>
    <w:p>
      <w:pPr>
        <w:spacing w:after="0"/>
        <w:rPr>
          <w:sz w:val="20"/>
          <w:szCs w:val="20"/>
          <w:color w:val="auto"/>
        </w:rPr>
      </w:pPr>
      <w:r>
        <w:rPr>
          <w:rFonts w:ascii="Times New Roman" w:cs="Times New Roman" w:eastAsia="Times New Roman" w:hAnsi="Times New Roman"/>
          <w:sz w:val="20"/>
          <w:szCs w:val="20"/>
          <w:color w:val="auto"/>
        </w:rPr>
        <w:t>Israel</w:t>
      </w:r>
    </w:p>
    <w:p>
      <w:pPr>
        <w:spacing w:after="0"/>
        <w:rPr>
          <w:sz w:val="20"/>
          <w:szCs w:val="20"/>
          <w:color w:val="auto"/>
        </w:rPr>
      </w:pPr>
      <w:r>
        <w:rPr>
          <w:rFonts w:ascii="Times New Roman" w:cs="Times New Roman" w:eastAsia="Times New Roman" w:hAnsi="Times New Roman"/>
          <w:sz w:val="20"/>
          <w:szCs w:val="20"/>
          <w:color w:val="auto"/>
        </w:rPr>
        <w:t>Italy</w:t>
      </w:r>
    </w:p>
    <w:p>
      <w:pPr>
        <w:spacing w:after="0"/>
        <w:rPr>
          <w:sz w:val="20"/>
          <w:szCs w:val="20"/>
          <w:color w:val="auto"/>
        </w:rPr>
      </w:pPr>
      <w:r>
        <w:rPr>
          <w:rFonts w:ascii="Times New Roman" w:cs="Times New Roman" w:eastAsia="Times New Roman" w:hAnsi="Times New Roman"/>
          <w:sz w:val="20"/>
          <w:szCs w:val="20"/>
          <w:color w:val="auto"/>
        </w:rPr>
        <w:t>Japan</w:t>
      </w:r>
    </w:p>
    <w:p>
      <w:pPr>
        <w:spacing w:after="0"/>
        <w:rPr>
          <w:sz w:val="20"/>
          <w:szCs w:val="20"/>
          <w:color w:val="auto"/>
        </w:rPr>
      </w:pPr>
      <w:r>
        <w:rPr>
          <w:rFonts w:ascii="Times New Roman" w:cs="Times New Roman" w:eastAsia="Times New Roman" w:hAnsi="Times New Roman"/>
          <w:sz w:val="20"/>
          <w:szCs w:val="20"/>
          <w:color w:val="auto"/>
        </w:rPr>
        <w:t>Malaysia</w:t>
      </w:r>
    </w:p>
    <w:p>
      <w:pPr>
        <w:spacing w:after="0"/>
        <w:rPr>
          <w:sz w:val="20"/>
          <w:szCs w:val="20"/>
          <w:color w:val="auto"/>
        </w:rPr>
      </w:pPr>
      <w:r>
        <w:rPr>
          <w:rFonts w:ascii="Times New Roman" w:cs="Times New Roman" w:eastAsia="Times New Roman" w:hAnsi="Times New Roman"/>
          <w:sz w:val="20"/>
          <w:szCs w:val="20"/>
          <w:color w:val="auto"/>
        </w:rPr>
        <w:t>Mexico</w:t>
      </w:r>
    </w:p>
    <w:p>
      <w:pPr>
        <w:spacing w:after="0"/>
        <w:rPr>
          <w:sz w:val="20"/>
          <w:szCs w:val="20"/>
          <w:color w:val="auto"/>
        </w:rPr>
      </w:pPr>
      <w:r>
        <w:rPr>
          <w:rFonts w:ascii="Times New Roman" w:cs="Times New Roman" w:eastAsia="Times New Roman" w:hAnsi="Times New Roman"/>
          <w:sz w:val="20"/>
          <w:szCs w:val="20"/>
          <w:color w:val="auto"/>
        </w:rPr>
        <w:t>Netherlands</w:t>
      </w:r>
    </w:p>
    <w:p>
      <w:pPr>
        <w:spacing w:after="0"/>
        <w:rPr>
          <w:sz w:val="20"/>
          <w:szCs w:val="20"/>
          <w:color w:val="auto"/>
        </w:rPr>
      </w:pPr>
      <w:r>
        <w:rPr>
          <w:rFonts w:ascii="Times New Roman" w:cs="Times New Roman" w:eastAsia="Times New Roman" w:hAnsi="Times New Roman"/>
          <w:sz w:val="20"/>
          <w:szCs w:val="20"/>
          <w:color w:val="auto"/>
        </w:rPr>
        <w:t>New Zealand</w:t>
      </w:r>
    </w:p>
    <w:p>
      <w:pPr>
        <w:spacing w:after="0"/>
        <w:rPr>
          <w:sz w:val="20"/>
          <w:szCs w:val="20"/>
          <w:color w:val="auto"/>
        </w:rPr>
      </w:pPr>
      <w:r>
        <w:rPr>
          <w:rFonts w:ascii="Times New Roman" w:cs="Times New Roman" w:eastAsia="Times New Roman" w:hAnsi="Times New Roman"/>
          <w:sz w:val="20"/>
          <w:szCs w:val="20"/>
          <w:color w:val="auto"/>
        </w:rPr>
        <w:t>Norway</w:t>
      </w:r>
    </w:p>
    <w:p>
      <w:pPr>
        <w:spacing w:after="0"/>
        <w:rPr>
          <w:sz w:val="20"/>
          <w:szCs w:val="20"/>
          <w:color w:val="auto"/>
        </w:rPr>
      </w:pPr>
      <w:r>
        <w:rPr>
          <w:rFonts w:ascii="Times New Roman" w:cs="Times New Roman" w:eastAsia="Times New Roman" w:hAnsi="Times New Roman"/>
          <w:sz w:val="20"/>
          <w:szCs w:val="20"/>
          <w:color w:val="auto"/>
        </w:rPr>
        <w:t>Philippines</w:t>
      </w:r>
    </w:p>
    <w:p>
      <w:pPr>
        <w:spacing w:after="0"/>
        <w:rPr>
          <w:sz w:val="20"/>
          <w:szCs w:val="20"/>
          <w:color w:val="auto"/>
        </w:rPr>
      </w:pPr>
      <w:r>
        <w:rPr>
          <w:rFonts w:ascii="Times New Roman" w:cs="Times New Roman" w:eastAsia="Times New Roman" w:hAnsi="Times New Roman"/>
          <w:sz w:val="20"/>
          <w:szCs w:val="20"/>
          <w:color w:val="auto"/>
        </w:rPr>
        <w:t>Poland</w:t>
      </w:r>
    </w:p>
    <w:p>
      <w:pPr>
        <w:spacing w:after="0"/>
        <w:rPr>
          <w:sz w:val="20"/>
          <w:szCs w:val="20"/>
          <w:color w:val="auto"/>
        </w:rPr>
      </w:pPr>
      <w:r>
        <w:rPr>
          <w:rFonts w:ascii="Times New Roman" w:cs="Times New Roman" w:eastAsia="Times New Roman" w:hAnsi="Times New Roman"/>
          <w:sz w:val="20"/>
          <w:szCs w:val="20"/>
          <w:color w:val="auto"/>
        </w:rPr>
        <w:t>Portugal</w:t>
      </w:r>
    </w:p>
    <w:p>
      <w:pPr>
        <w:spacing w:after="0"/>
        <w:rPr>
          <w:sz w:val="20"/>
          <w:szCs w:val="20"/>
          <w:color w:val="auto"/>
        </w:rPr>
      </w:pPr>
      <w:r>
        <w:rPr>
          <w:rFonts w:ascii="Times New Roman" w:cs="Times New Roman" w:eastAsia="Times New Roman" w:hAnsi="Times New Roman"/>
          <w:sz w:val="20"/>
          <w:szCs w:val="20"/>
          <w:color w:val="auto"/>
        </w:rPr>
        <w:t>Qatar</w:t>
      </w:r>
    </w:p>
    <w:p>
      <w:pPr>
        <w:spacing w:after="0"/>
        <w:rPr>
          <w:sz w:val="20"/>
          <w:szCs w:val="20"/>
          <w:color w:val="auto"/>
        </w:rPr>
      </w:pPr>
      <w:r>
        <w:rPr>
          <w:rFonts w:ascii="Times New Roman" w:cs="Times New Roman" w:eastAsia="Times New Roman" w:hAnsi="Times New Roman"/>
          <w:sz w:val="20"/>
          <w:szCs w:val="20"/>
          <w:color w:val="auto"/>
        </w:rPr>
        <w:t>Romania</w:t>
      </w:r>
    </w:p>
    <w:p>
      <w:pPr>
        <w:spacing w:after="0"/>
        <w:rPr>
          <w:sz w:val="20"/>
          <w:szCs w:val="20"/>
          <w:color w:val="auto"/>
        </w:rPr>
      </w:pPr>
      <w:r>
        <w:rPr>
          <w:rFonts w:ascii="Times New Roman" w:cs="Times New Roman" w:eastAsia="Times New Roman" w:hAnsi="Times New Roman"/>
          <w:sz w:val="20"/>
          <w:szCs w:val="20"/>
          <w:color w:val="auto"/>
        </w:rPr>
        <w:t>Singapore</w:t>
      </w:r>
    </w:p>
    <w:p>
      <w:pPr>
        <w:spacing w:after="0"/>
        <w:rPr>
          <w:sz w:val="20"/>
          <w:szCs w:val="20"/>
          <w:color w:val="auto"/>
        </w:rPr>
      </w:pPr>
      <w:r>
        <w:rPr>
          <w:rFonts w:ascii="Times New Roman" w:cs="Times New Roman" w:eastAsia="Times New Roman" w:hAnsi="Times New Roman"/>
          <w:sz w:val="20"/>
          <w:szCs w:val="20"/>
          <w:color w:val="auto"/>
        </w:rPr>
        <w:t>South Korea</w:t>
      </w:r>
    </w:p>
    <w:p>
      <w:pPr>
        <w:spacing w:after="0"/>
        <w:rPr>
          <w:sz w:val="20"/>
          <w:szCs w:val="20"/>
          <w:color w:val="auto"/>
        </w:rPr>
      </w:pPr>
      <w:r>
        <w:rPr>
          <w:rFonts w:ascii="Times New Roman" w:cs="Times New Roman" w:eastAsia="Times New Roman" w:hAnsi="Times New Roman"/>
          <w:sz w:val="20"/>
          <w:szCs w:val="20"/>
          <w:color w:val="auto"/>
        </w:rPr>
        <w:t>Spain</w:t>
      </w:r>
    </w:p>
    <w:p>
      <w:pPr>
        <w:spacing w:after="0"/>
        <w:rPr>
          <w:sz w:val="20"/>
          <w:szCs w:val="20"/>
          <w:color w:val="auto"/>
        </w:rPr>
      </w:pPr>
      <w:r>
        <w:rPr>
          <w:rFonts w:ascii="Times New Roman" w:cs="Times New Roman" w:eastAsia="Times New Roman" w:hAnsi="Times New Roman"/>
          <w:sz w:val="20"/>
          <w:szCs w:val="20"/>
          <w:color w:val="auto"/>
        </w:rPr>
        <w:t>Sweden</w:t>
      </w:r>
    </w:p>
    <w:p>
      <w:pPr>
        <w:spacing w:after="0"/>
        <w:rPr>
          <w:sz w:val="20"/>
          <w:szCs w:val="20"/>
          <w:color w:val="auto"/>
        </w:rPr>
      </w:pPr>
      <w:r>
        <w:rPr>
          <w:rFonts w:ascii="Times New Roman" w:cs="Times New Roman" w:eastAsia="Times New Roman" w:hAnsi="Times New Roman"/>
          <w:sz w:val="20"/>
          <w:szCs w:val="20"/>
          <w:color w:val="auto"/>
        </w:rPr>
        <w:t>Switzerland</w:t>
      </w:r>
    </w:p>
    <w:p>
      <w:pPr>
        <w:spacing w:after="0"/>
        <w:rPr>
          <w:sz w:val="20"/>
          <w:szCs w:val="20"/>
          <w:color w:val="auto"/>
        </w:rPr>
      </w:pPr>
      <w:r>
        <w:rPr>
          <w:rFonts w:ascii="Times New Roman" w:cs="Times New Roman" w:eastAsia="Times New Roman" w:hAnsi="Times New Roman"/>
          <w:sz w:val="20"/>
          <w:szCs w:val="20"/>
          <w:color w:val="auto"/>
        </w:rPr>
        <w:t>Taiwan</w:t>
      </w:r>
    </w:p>
    <w:p>
      <w:pPr>
        <w:spacing w:after="0"/>
        <w:rPr>
          <w:sz w:val="20"/>
          <w:szCs w:val="20"/>
          <w:color w:val="auto"/>
        </w:rPr>
      </w:pPr>
      <w:r>
        <w:rPr>
          <w:rFonts w:ascii="Times New Roman" w:cs="Times New Roman" w:eastAsia="Times New Roman" w:hAnsi="Times New Roman"/>
          <w:sz w:val="20"/>
          <w:szCs w:val="20"/>
          <w:color w:val="auto"/>
        </w:rPr>
        <w:t>Thailand</w:t>
      </w:r>
    </w:p>
    <w:p>
      <w:pPr>
        <w:spacing w:after="0"/>
        <w:rPr>
          <w:sz w:val="20"/>
          <w:szCs w:val="20"/>
          <w:color w:val="auto"/>
        </w:rPr>
      </w:pPr>
      <w:r>
        <w:rPr>
          <w:rFonts w:ascii="Times New Roman" w:cs="Times New Roman" w:eastAsia="Times New Roman" w:hAnsi="Times New Roman"/>
          <w:sz w:val="20"/>
          <w:szCs w:val="20"/>
          <w:color w:val="auto"/>
        </w:rPr>
        <w:t>Turkey</w:t>
      </w:r>
    </w:p>
    <w:p>
      <w:pPr>
        <w:spacing w:after="0"/>
        <w:rPr>
          <w:sz w:val="20"/>
          <w:szCs w:val="20"/>
          <w:color w:val="auto"/>
        </w:rPr>
      </w:pPr>
      <w:r>
        <w:rPr>
          <w:rFonts w:ascii="Times New Roman" w:cs="Times New Roman" w:eastAsia="Times New Roman" w:hAnsi="Times New Roman"/>
          <w:sz w:val="20"/>
          <w:szCs w:val="20"/>
          <w:color w:val="auto"/>
        </w:rPr>
        <w:t>United Arab Emirates</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219"/>
          </w:cols>
          <w:pgMar w:left="240" w:top="581" w:right="1440" w:bottom="1440" w:gutter="0" w:footer="0" w:header="0"/>
        </w:sectPr>
      </w:pPr>
    </w:p>
    <w:bookmarkStart w:id="126" w:name="page127"/>
    <w:bookmarkEnd w:id="126"/>
    <w:p>
      <w:pPr>
        <w:ind w:left="-8" w:firstLine="8"/>
        <w:spacing w:after="0" w:line="269" w:lineRule="auto"/>
        <w:tabs>
          <w:tab w:leader="none" w:pos="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of Delcam subsidiaries located in China and Japan are not eligible to participate in the International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72"/>
          </w:cols>
          <w:pgMar w:left="248" w:top="589" w:right="57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10.5</w:t>
      </w:r>
    </w:p>
    <w:p>
      <w:pPr>
        <w:spacing w:after="0" w:line="2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AUTODESK, INC.</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u w:val="single" w:color="auto"/>
          <w:color w:val="auto"/>
        </w:rPr>
        <w:t>EMPLOYEE QUALIFIED STOCK PURCHASE PLAN</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u w:val="single" w:color="auto"/>
          <w:color w:val="auto"/>
        </w:rPr>
        <w:t>SUBSCRIPTION AGREEMENT</w:t>
      </w:r>
    </w:p>
    <w:p>
      <w:pPr>
        <w:spacing w:after="0" w:line="263" w:lineRule="exact"/>
        <w:rPr>
          <w:sz w:val="20"/>
          <w:szCs w:val="20"/>
          <w:color w:val="auto"/>
        </w:rPr>
      </w:pPr>
    </w:p>
    <w:p>
      <w:pPr>
        <w:ind w:left="1300" w:hanging="1292"/>
        <w:spacing w:after="0" w:line="291" w:lineRule="auto"/>
        <w:tabs>
          <w:tab w:leader="none" w:pos="6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elect to participate in the Autodesk, Inc. 1998 Employee Qualified Stock Purchase Plan (the “US Plan”) or the International Employee Stock Purchase Plan, as amended and restated, of Autodesk, Inc., a sub-plan of the US Plan (the “International Plan”, together the “Plan”) and subscribe to purchase shares of the Company’s Common Stock, without par value, in accordance with this Subscription Agreement and the Plan.</w:t>
      </w:r>
    </w:p>
    <w:p>
      <w:pPr>
        <w:spacing w:after="0" w:line="218" w:lineRule="exact"/>
        <w:rPr>
          <w:rFonts w:ascii="Times New Roman" w:cs="Times New Roman" w:eastAsia="Times New Roman" w:hAnsi="Times New Roman"/>
          <w:sz w:val="22"/>
          <w:szCs w:val="22"/>
          <w:color w:val="auto"/>
        </w:rPr>
      </w:pPr>
    </w:p>
    <w:p>
      <w:pPr>
        <w:ind w:left="1300" w:hanging="1292"/>
        <w:spacing w:after="0" w:line="291" w:lineRule="auto"/>
        <w:tabs>
          <w:tab w:leader="none" w:pos="6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authorize the percentage of my Compensation (from 0 to 15%) indicated by me on the Company’s online enrollment tool to be deducted during each pay period during the Offering Period in accordance with the Plan. Such deductions are to continue for succeeding Offering Periods until I give written instructions for a change in or termination of such deductions.</w:t>
      </w:r>
    </w:p>
    <w:p>
      <w:pPr>
        <w:spacing w:after="0" w:line="218" w:lineRule="exact"/>
        <w:rPr>
          <w:rFonts w:ascii="Times New Roman" w:cs="Times New Roman" w:eastAsia="Times New Roman" w:hAnsi="Times New Roman"/>
          <w:sz w:val="22"/>
          <w:szCs w:val="22"/>
          <w:color w:val="auto"/>
        </w:rPr>
      </w:pPr>
    </w:p>
    <w:p>
      <w:pPr>
        <w:ind w:left="1300" w:hanging="1292"/>
        <w:spacing w:after="0" w:line="288" w:lineRule="auto"/>
        <w:tabs>
          <w:tab w:leader="none" w:pos="6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any payroll deductions or approved contributions through other means shall be accumulated for the purchase of full shares of Common Stock, without par value, at the applicable purchase price determined in accordance with the Plan. I further understand that, except as otherwise set forth in the Plan, shares will be purchased for me automatically on each Exercise Date of the offering period unless I otherwise withdraw from the Plan by giving written notice to the Company for such purpose.</w:t>
      </w:r>
    </w:p>
    <w:p>
      <w:pPr>
        <w:spacing w:after="0" w:line="224" w:lineRule="exact"/>
        <w:rPr>
          <w:rFonts w:ascii="Times New Roman" w:cs="Times New Roman" w:eastAsia="Times New Roman" w:hAnsi="Times New Roman"/>
          <w:sz w:val="22"/>
          <w:szCs w:val="22"/>
          <w:color w:val="auto"/>
        </w:rPr>
      </w:pPr>
    </w:p>
    <w:p>
      <w:pPr>
        <w:ind w:left="1300" w:hanging="1292"/>
        <w:spacing w:after="0" w:line="285" w:lineRule="auto"/>
        <w:tabs>
          <w:tab w:leader="none" w:pos="6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my participation in the Plan is in all respects subject to its terms. Any interpretation of this Subscription Agreement shall be made in accordance with the Plan. In the event there is any contradiction between the provisions of this Subscription Agreement and the US Plan and International Plan, as applicable, the provisions of this Subscription Agreement shall prevail. All capitalized terms used in this Subscription Agreement that are not defined herein have the meanings defined in the US Plan and International Plan, as applicable. I understand that I may withdraw from the Plan and have payroll deductions or other approved contributions refunded (without interest unless otherwise required under local law) on the next payroll date following notice of withdrawal at any time during the Offering Period.</w:t>
      </w:r>
    </w:p>
    <w:p>
      <w:pPr>
        <w:spacing w:after="0" w:line="230" w:lineRule="exact"/>
        <w:rPr>
          <w:rFonts w:ascii="Times New Roman" w:cs="Times New Roman" w:eastAsia="Times New Roman" w:hAnsi="Times New Roman"/>
          <w:sz w:val="22"/>
          <w:szCs w:val="22"/>
          <w:color w:val="auto"/>
        </w:rPr>
      </w:pPr>
    </w:p>
    <w:p>
      <w:pPr>
        <w:ind w:left="1300" w:hanging="1292"/>
        <w:spacing w:after="0" w:line="295" w:lineRule="auto"/>
        <w:tabs>
          <w:tab w:leader="none" w:pos="6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if I am a US taxpayer participating in an offering under the US Plan and I dispose of any shares received by me pursuant to the Plan within two (2) years after the Offering Date (the first day of the Offering Period during which I purchased such shares)</w:t>
      </w:r>
    </w:p>
    <w:p>
      <w:pPr>
        <w:sectPr>
          <w:pgSz w:w="11900" w:h="16838" w:orient="portrait"/>
          <w:cols w:equalWidth="0" w:num="1">
            <w:col w:w="11420"/>
          </w:cols>
          <w:pgMar w:left="240" w:top="356" w:right="239" w:bottom="1440" w:gutter="0" w:footer="0" w:header="0"/>
        </w:sectPr>
      </w:pPr>
    </w:p>
    <w:bookmarkStart w:id="128" w:name="page129"/>
    <w:bookmarkEnd w:id="128"/>
    <w:p>
      <w:pPr>
        <w:jc w:val="both"/>
        <w:ind w:left="652"/>
        <w:spacing w:after="0" w:line="283" w:lineRule="auto"/>
        <w:rPr>
          <w:sz w:val="20"/>
          <w:szCs w:val="20"/>
          <w:color w:val="auto"/>
        </w:rPr>
      </w:pPr>
      <w:r>
        <w:rPr>
          <w:rFonts w:ascii="Times New Roman" w:cs="Times New Roman" w:eastAsia="Times New Roman" w:hAnsi="Times New Roman"/>
          <w:sz w:val="22"/>
          <w:szCs w:val="22"/>
          <w:color w:val="auto"/>
        </w:rPr>
        <w:t xml:space="preserve">or within one (1) year after the date on which such shares were transferred to me, I will be treated for US federal income tax purposes as having received ordinary income at the time of such disposition in an amount equal to the excess of the fair market value of the shares at the time such shares were purchased by me over the price which I paid for the shares, and I may be required to provide income tax withholding on that amount. </w:t>
      </w:r>
      <w:r>
        <w:rPr>
          <w:rFonts w:ascii="Times New Roman" w:cs="Times New Roman" w:eastAsia="Times New Roman" w:hAnsi="Times New Roman"/>
          <w:sz w:val="22"/>
          <w:szCs w:val="22"/>
          <w:u w:val="single" w:color="auto"/>
          <w:color w:val="auto"/>
        </w:rPr>
        <w:t>I hereby agree to notify the Company in writing within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thirty (30) days after the date of any such disposition of my shares and I will make adequate provision for US federal, state, foreign or other tax withholding obligations, if any, which arise upon the disposition of the Common Stock</w:t>
      </w:r>
      <w:r>
        <w:rPr>
          <w:rFonts w:ascii="Times New Roman" w:cs="Times New Roman" w:eastAsia="Times New Roman" w:hAnsi="Times New Roman"/>
          <w:sz w:val="22"/>
          <w:szCs w:val="22"/>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two-year and one-year holding periods, I understand that I will be treated for federal income tax purposes as having received income only at the time of such disposition, and that such income will be treated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or loss, if any, recognized on such disposition will be treated as capital gain or loss. The federal income tax treatment of ordinary income and capital gain and loss is described in the Company’s prospectus relating to the Plan.</w:t>
      </w:r>
    </w:p>
    <w:p>
      <w:pPr>
        <w:spacing w:after="0" w:line="238" w:lineRule="exact"/>
        <w:rPr>
          <w:sz w:val="20"/>
          <w:szCs w:val="20"/>
          <w:color w:val="auto"/>
        </w:rPr>
      </w:pPr>
    </w:p>
    <w:p>
      <w:pPr>
        <w:ind w:left="1292" w:hanging="1292"/>
        <w:spacing w:after="0" w:line="291" w:lineRule="auto"/>
        <w:tabs>
          <w:tab w:leader="none" w:pos="6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Plan by electronic means. I hereby consent to receive such documents by electronic delivery and agree to participate in the Plan through an on-line or electronic system established and maintained by the Company or another third party designated by the Company.</w:t>
      </w:r>
    </w:p>
    <w:p>
      <w:pPr>
        <w:spacing w:after="0" w:line="218" w:lineRule="exact"/>
        <w:rPr>
          <w:rFonts w:ascii="Times New Roman" w:cs="Times New Roman" w:eastAsia="Times New Roman" w:hAnsi="Times New Roman"/>
          <w:sz w:val="22"/>
          <w:szCs w:val="22"/>
          <w:color w:val="auto"/>
        </w:rPr>
      </w:pPr>
    </w:p>
    <w:p>
      <w:pPr>
        <w:ind w:left="1292" w:hanging="1292"/>
        <w:spacing w:after="0" w:line="287" w:lineRule="auto"/>
        <w:tabs>
          <w:tab w:leader="none" w:pos="6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Subscription Agreement shall be governed by and construed in accordance with the laws of the State of California (without regard to its conflict of laws provisions) as such laws are applied to agreements between California residents entered into and to be performed entirely within California. For purposes of litigating any dispute that arises directly or indirectly from the relationship of the parties, I hereby submit and consent to the exclusive jurisdiction of the State of California and agree that such litigation shall be conducted only in the courts of Marin County, California, or the federal courts for the US for the Northern District of California, and no other courts.</w:t>
      </w:r>
    </w:p>
    <w:p>
      <w:pPr>
        <w:spacing w:after="0" w:line="224" w:lineRule="exact"/>
        <w:rPr>
          <w:rFonts w:ascii="Times New Roman" w:cs="Times New Roman" w:eastAsia="Times New Roman" w:hAnsi="Times New Roman"/>
          <w:sz w:val="22"/>
          <w:szCs w:val="22"/>
          <w:color w:val="auto"/>
        </w:rPr>
      </w:pPr>
    </w:p>
    <w:p>
      <w:pPr>
        <w:ind w:left="652" w:hanging="652"/>
        <w:spacing w:after="0" w:line="309" w:lineRule="auto"/>
        <w:tabs>
          <w:tab w:leader="none" w:pos="65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at its option, may elect to terminate, suspend or modify the terms of the Plan at any time, to the extent permitted by the Plan. I agree to be bound by such termination,</w:t>
      </w:r>
    </w:p>
    <w:p>
      <w:pPr>
        <w:sectPr>
          <w:pgSz w:w="11900" w:h="16838" w:orient="portrait"/>
          <w:cols w:equalWidth="0" w:num="1">
            <w:col w:w="11412"/>
          </w:cols>
          <w:pgMar w:left="248" w:top="382" w:right="239" w:bottom="1440" w:gutter="0" w:footer="0" w:header="0"/>
        </w:sectPr>
      </w:pPr>
    </w:p>
    <w:bookmarkStart w:id="129" w:name="page130"/>
    <w:bookmarkEnd w:id="129"/>
    <w:p>
      <w:pPr>
        <w:jc w:val="both"/>
        <w:ind w:left="652"/>
        <w:spacing w:after="0" w:line="287" w:lineRule="auto"/>
        <w:rPr>
          <w:sz w:val="20"/>
          <w:szCs w:val="20"/>
          <w:color w:val="auto"/>
        </w:rPr>
      </w:pPr>
      <w:r>
        <w:rPr>
          <w:rFonts w:ascii="Times New Roman" w:cs="Times New Roman" w:eastAsia="Times New Roman" w:hAnsi="Times New Roman"/>
          <w:sz w:val="22"/>
          <w:szCs w:val="22"/>
          <w:color w:val="auto"/>
        </w:rPr>
        <w:t>suspension or modification regardless of whether notice is given to me of such event, subject in any case to my right to timely withdraw from the Plan in accordance with the Plan withdrawal procedures then in effect. In addition, the Company reserves the right to impose other requirements, on my participation in the Plan, on any shares of Common Stock purchased under the Plan, to the extent the Company determines it is necessary or advisable for legal or administrative reasons, and to require me to sign and/or update any additional agreements, forms or undertakings and to provide any additional information that may be necessary to accomplish the foregoing.</w:t>
      </w:r>
    </w:p>
    <w:p>
      <w:pPr>
        <w:spacing w:after="0" w:line="184" w:lineRule="exact"/>
        <w:rPr>
          <w:sz w:val="20"/>
          <w:szCs w:val="20"/>
          <w:color w:val="auto"/>
        </w:rPr>
      </w:pPr>
    </w:p>
    <w:p>
      <w:pPr>
        <w:ind w:left="1292" w:hanging="1292"/>
        <w:spacing w:after="0" w:line="286" w:lineRule="auto"/>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Subscription Agreement, I understand that if I am working or resident in a country other than the United States, my participation in the Plan shall also be subject to the Additional Terms and Conditions for Participants Outside the US set forth in Appendix A attached hereto and any special terms and conditions for my country set forth in Appendix B attached hereto. Further, if I relocate to one of the countries included in Appendix B, I understand the special terms and conditions for such country will apply to me to the extent the Company determines the application of such terms and conditions is necessary or advisable for legal or administrative reasons. Appendix A and Appendix B constitute part of this Subscription Agreement.</w:t>
      </w:r>
    </w:p>
    <w:p>
      <w:pPr>
        <w:spacing w:after="0" w:line="226" w:lineRule="exact"/>
        <w:rPr>
          <w:rFonts w:ascii="Times New Roman" w:cs="Times New Roman" w:eastAsia="Times New Roman" w:hAnsi="Times New Roman"/>
          <w:sz w:val="22"/>
          <w:szCs w:val="22"/>
          <w:color w:val="auto"/>
        </w:rPr>
      </w:pPr>
    </w:p>
    <w:p>
      <w:pPr>
        <w:ind w:left="1292" w:hanging="1292"/>
        <w:spacing w:after="0" w:line="295" w:lineRule="auto"/>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the Subscription Agreement are severable and if any one or more provisions are determined to be illegal or otherwise unenforceable, in whole or in part, the remaining provisions nevertheless shall be binding and enforceable.</w:t>
      </w:r>
    </w:p>
    <w:p>
      <w:pPr>
        <w:spacing w:after="0" w:line="215" w:lineRule="exact"/>
        <w:rPr>
          <w:rFonts w:ascii="Times New Roman" w:cs="Times New Roman" w:eastAsia="Times New Roman" w:hAnsi="Times New Roman"/>
          <w:sz w:val="22"/>
          <w:szCs w:val="22"/>
          <w:color w:val="auto"/>
        </w:rPr>
      </w:pPr>
    </w:p>
    <w:p>
      <w:pPr>
        <w:ind w:left="1292" w:hanging="1292"/>
        <w:spacing w:after="0" w:line="295" w:lineRule="auto"/>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acknowledge that a waiver by the Company of breach of any provision of the Subscription Agreement shall not operate or be construed as a waiver of any other provision of the Subscription Agreement, or of any subsequent breach by me or any other participant.</w:t>
      </w:r>
    </w:p>
    <w:p>
      <w:pPr>
        <w:spacing w:after="0" w:line="215" w:lineRule="exact"/>
        <w:rPr>
          <w:rFonts w:ascii="Times New Roman" w:cs="Times New Roman" w:eastAsia="Times New Roman" w:hAnsi="Times New Roman"/>
          <w:sz w:val="22"/>
          <w:szCs w:val="22"/>
          <w:color w:val="auto"/>
        </w:rPr>
      </w:pPr>
    </w:p>
    <w:p>
      <w:pPr>
        <w:ind w:left="1292" w:hanging="1292"/>
        <w:spacing w:after="0" w:line="291" w:lineRule="auto"/>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my participation in the Plan, or my acquisition or sale of the underlying shares of Common Stock. I am hereby advised to consult with my own personal tax, legal and financial advisors regarding my participation in the Plan before taking any action related to the Plan.</w:t>
      </w:r>
    </w:p>
    <w:p>
      <w:pPr>
        <w:spacing w:after="0" w:line="218" w:lineRule="exact"/>
        <w:rPr>
          <w:rFonts w:ascii="Times New Roman" w:cs="Times New Roman" w:eastAsia="Times New Roman" w:hAnsi="Times New Roman"/>
          <w:sz w:val="22"/>
          <w:szCs w:val="22"/>
          <w:color w:val="auto"/>
        </w:rPr>
      </w:pPr>
    </w:p>
    <w:p>
      <w:pPr>
        <w:ind w:left="1292" w:hanging="1292"/>
        <w:spacing w:after="0" w:line="288" w:lineRule="auto"/>
        <w:tabs>
          <w:tab w:leader="none" w:pos="6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agree to be bound by the terms of the Plan. The effectiveness of this Subscription Agreement is dependent upon my eligibility to participate in the Plan. I further agree to be bound by any policies relating to the Plan, including but not limited to the ESPP Share Transfer Blocking Policy, which provides as of the date hereof that shares acquired pursuant to the Plan may not be transferred from my E*TRADE employee stock plan account, other than to another broker or third party where the shares are to be gifted to another individual or to charity.</w:t>
      </w:r>
    </w:p>
    <w:p>
      <w:pPr>
        <w:sectPr>
          <w:pgSz w:w="11900" w:h="16838" w:orient="portrait"/>
          <w:cols w:equalWidth="0" w:num="1">
            <w:col w:w="11412"/>
          </w:cols>
          <w:pgMar w:left="248" w:top="382" w:right="239" w:bottom="1440" w:gutter="0" w:footer="0" w:header="0"/>
        </w:sectPr>
      </w:pPr>
    </w:p>
    <w:bookmarkStart w:id="130" w:name="page131"/>
    <w:bookmarkEnd w:id="130"/>
    <w:p>
      <w:pPr>
        <w:spacing w:after="0" w:line="271" w:lineRule="auto"/>
        <w:rPr>
          <w:sz w:val="20"/>
          <w:szCs w:val="20"/>
          <w:color w:val="auto"/>
        </w:rPr>
      </w:pPr>
      <w:r>
        <w:rPr>
          <w:rFonts w:ascii="Times New Roman" w:cs="Times New Roman" w:eastAsia="Times New Roman" w:hAnsi="Times New Roman"/>
          <w:sz w:val="22"/>
          <w:szCs w:val="22"/>
          <w:color w:val="auto"/>
        </w:rPr>
        <w:t>I UNDERSTAND THIS SUBSCRIPTION AGREEMENT SHALL REMAIN IN EFFECT THROUGHOUT SUCCESSIVE OFFERING PERIODS UNLESS TERMINATED BY ME OR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548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-13970</wp:posOffset>
            </wp:positionV>
            <wp:extent cx="9607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31" w:name="page132"/>
    <w:bookmarkEnd w:id="131"/>
    <w:p>
      <w:pPr>
        <w:ind w:left="50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AUTODESK,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INTERNATIONAL EMPLOYEE QUALIFIED STOCK PURCHASE PLAN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ADDITIONAL TERMS AND CONDITIONS FOR PARTICIPANTS OUTSIDE THE US</w:t>
      </w:r>
    </w:p>
    <w:p>
      <w:pPr>
        <w:spacing w:after="0" w:line="2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i w:val="1"/>
          <w:iCs w:val="1"/>
          <w:color w:val="auto"/>
        </w:rPr>
        <w:t>Capitalized terms used but not otherwise defined herein shall have the meaning given to such terms in the US Plan or International Plan, as applicable and the Subscription Agreement.</w:t>
      </w:r>
    </w:p>
    <w:p>
      <w:pPr>
        <w:spacing w:after="0" w:line="200" w:lineRule="exact"/>
        <w:rPr>
          <w:sz w:val="20"/>
          <w:szCs w:val="20"/>
          <w:color w:val="auto"/>
        </w:rPr>
      </w:pPr>
    </w:p>
    <w:p>
      <w:pPr>
        <w:spacing w:after="0" w:line="220" w:lineRule="exact"/>
        <w:rPr>
          <w:sz w:val="20"/>
          <w:szCs w:val="20"/>
          <w:color w:val="auto"/>
        </w:rPr>
      </w:pPr>
    </w:p>
    <w:p>
      <w:pPr>
        <w:ind w:left="1300" w:hanging="1292"/>
        <w:spacing w:after="0" w:line="289" w:lineRule="auto"/>
        <w:tabs>
          <w:tab w:leader="none" w:pos="65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of Plan Participation for Participants Outside the US</w:t>
      </w:r>
      <w:r>
        <w:rPr>
          <w:rFonts w:ascii="Times New Roman" w:cs="Times New Roman" w:eastAsia="Times New Roman" w:hAnsi="Times New Roman"/>
          <w:sz w:val="22"/>
          <w:szCs w:val="22"/>
          <w:color w:val="auto"/>
        </w:rPr>
        <w:t>. I understand this Appendix A contains additional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that, together with the Plan and the Subscription Agreement, govern my participation in the Plan if I am working or resident in a country other than the United States. I further understand that my participation in the Plan will also be subject to any applicable country-specific terms and conditions set forth in Appendix B attached hereto.</w:t>
      </w:r>
    </w:p>
    <w:p>
      <w:pPr>
        <w:spacing w:after="0" w:line="219" w:lineRule="exact"/>
        <w:rPr>
          <w:rFonts w:ascii="Times New Roman" w:cs="Times New Roman" w:eastAsia="Times New Roman" w:hAnsi="Times New Roman"/>
          <w:sz w:val="22"/>
          <w:szCs w:val="22"/>
          <w:color w:val="auto"/>
        </w:rPr>
      </w:pPr>
    </w:p>
    <w:p>
      <w:pPr>
        <w:ind w:left="1300" w:hanging="1292"/>
        <w:spacing w:after="0" w:line="287" w:lineRule="auto"/>
        <w:tabs>
          <w:tab w:leader="none" w:pos="65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 of Payroll Deductions</w:t>
      </w:r>
      <w:r>
        <w:rPr>
          <w:rFonts w:ascii="Times New Roman" w:cs="Times New Roman" w:eastAsia="Times New Roman" w:hAnsi="Times New Roman"/>
          <w:sz w:val="22"/>
          <w:szCs w:val="22"/>
          <w:color w:val="auto"/>
        </w:rPr>
        <w:t>. If my payroll deductions or contributions under the Plan are made in any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US dollars, I understand such payroll deductions or contributions will be converted to US dollars on or prior to the Exercise Date using a prevailing exchange rate in effect at the time such conversion is performed, as determined by the Board or a Board Committee. I agree and acknowledge that I shall bear any and all risk associated with the exchange or fluctuation of currency associated with my participation under the Plan, including without limitation the purchase of shares of Common Stock or sale of such shares (the “Currency Exchange Risk”). I waive and release the Company from any potential claims arising out of the Currency Exchange Risk.</w:t>
      </w:r>
    </w:p>
    <w:p>
      <w:pPr>
        <w:spacing w:after="0" w:line="218" w:lineRule="exact"/>
        <w:rPr>
          <w:rFonts w:ascii="Times New Roman" w:cs="Times New Roman" w:eastAsia="Times New Roman" w:hAnsi="Times New Roman"/>
          <w:sz w:val="22"/>
          <w:szCs w:val="22"/>
          <w:color w:val="auto"/>
        </w:rPr>
      </w:pPr>
    </w:p>
    <w:p>
      <w:pPr>
        <w:ind w:left="1300" w:hanging="1292"/>
        <w:spacing w:after="0" w:line="285" w:lineRule="auto"/>
        <w:tabs>
          <w:tab w:leader="none" w:pos="65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Regardless of any action taken by the Company or, if different, my employer (the “Employer”)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or all income tax, social security, payroll tax, fringe benefits tax, payment on account or other tax-related items related to my participation in the Plan and legally applicable to me (“Tax-Related Items”), I acknowledge the ultimate liability for all Tax-Related Items is and remains my responsibility and may exceed the amount withheld by the Company or the Employer. I also acknowledge the Company and/or the Employer (1) make no representations or undertakings regarding the treatment of any Tax-Related Items in connection with any aspect of the options under the Plan, including the grant of such options, the purchase and sale of shares of Common Stock acquired under the Plan and/or the receipt of any dividends on such shares, and (2)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w:t>
      </w:r>
    </w:p>
    <w:p>
      <w:pPr>
        <w:sectPr>
          <w:pgSz w:w="11900" w:h="16838" w:orient="portrait"/>
          <w:cols w:equalWidth="0" w:num="1">
            <w:col w:w="11420"/>
          </w:cols>
          <w:pgMar w:left="240" w:top="365" w:right="239" w:bottom="1440" w:gutter="0" w:footer="0" w:header="0"/>
        </w:sectPr>
      </w:pPr>
    </w:p>
    <w:bookmarkStart w:id="132" w:name="page133"/>
    <w:bookmarkEnd w:id="132"/>
    <w:p>
      <w:pPr>
        <w:jc w:val="both"/>
        <w:ind w:left="652"/>
        <w:spacing w:after="0" w:line="309" w:lineRule="auto"/>
        <w:rPr>
          <w:sz w:val="20"/>
          <w:szCs w:val="20"/>
          <w:color w:val="auto"/>
        </w:rPr>
      </w:pPr>
      <w:r>
        <w:rPr>
          <w:rFonts w:ascii="Times New Roman" w:cs="Times New Roman" w:eastAsia="Times New Roman" w:hAnsi="Times New Roman"/>
          <w:sz w:val="22"/>
          <w:szCs w:val="22"/>
          <w:color w:val="auto"/>
        </w:rPr>
        <w:t>than one jurisdiction I acknowledge that the Company and/or the Employer (or former employer, as applicable) may be required to withhold or account for Tax-Related Items in more than one jurisdiction.</w:t>
      </w:r>
    </w:p>
    <w:p>
      <w:pPr>
        <w:spacing w:after="0" w:line="240" w:lineRule="exact"/>
        <w:rPr>
          <w:sz w:val="20"/>
          <w:szCs w:val="20"/>
          <w:color w:val="auto"/>
        </w:rPr>
      </w:pPr>
    </w:p>
    <w:p>
      <w:pPr>
        <w:jc w:val="both"/>
        <w:ind w:left="652" w:firstLine="648"/>
        <w:spacing w:after="0" w:line="285" w:lineRule="auto"/>
        <w:rPr>
          <w:sz w:val="20"/>
          <w:szCs w:val="20"/>
          <w:color w:val="auto"/>
        </w:rPr>
      </w:pPr>
      <w:r>
        <w:rPr>
          <w:rFonts w:ascii="Times New Roman" w:cs="Times New Roman" w:eastAsia="Times New Roman" w:hAnsi="Times New Roman"/>
          <w:sz w:val="22"/>
          <w:szCs w:val="22"/>
          <w:color w:val="auto"/>
        </w:rPr>
        <w:t>Prior to the purchase of shares of Common Stock under the Plan or any other relevant taxable or tax withholding event, as applicable, I agree to make adequate arrangements satisfactory to the Company and/or the Employer to satisfy all Tax-Related Items. In this regard, I authorize the Company and/or the Employer, or their respective agents, at their discretion, to satisfy the obligations with regard to all Tax-Related Items by one or a combination of the following: (1) withholding from my wages or Compensation paid to me by the Company and/or the Employer (including withholding from cash from my brokerage account designated by the Company); or (2)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w:t>
      </w:r>
    </w:p>
    <w:p>
      <w:pPr>
        <w:spacing w:after="0" w:line="267" w:lineRule="exact"/>
        <w:rPr>
          <w:sz w:val="20"/>
          <w:szCs w:val="20"/>
          <w:color w:val="auto"/>
        </w:rPr>
      </w:pPr>
    </w:p>
    <w:p>
      <w:pPr>
        <w:jc w:val="both"/>
        <w:ind w:left="652" w:firstLine="648"/>
        <w:spacing w:after="0" w:line="288" w:lineRule="auto"/>
        <w:rPr>
          <w:sz w:val="20"/>
          <w:szCs w:val="20"/>
          <w:color w:val="auto"/>
        </w:rPr>
      </w:pPr>
      <w:r>
        <w:rPr>
          <w:rFonts w:ascii="Times New Roman" w:cs="Times New Roman" w:eastAsia="Times New Roman" w:hAnsi="Times New Roman"/>
          <w:sz w:val="22"/>
          <w:szCs w:val="22"/>
          <w:color w:val="auto"/>
        </w:rPr>
        <w:t>Finally, I agree to pay to the Company or the Employer any amount of Tax-Related Items that the Company or the Employer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220" w:lineRule="exact"/>
        <w:rPr>
          <w:sz w:val="20"/>
          <w:szCs w:val="20"/>
          <w:color w:val="auto"/>
        </w:rPr>
      </w:pPr>
    </w:p>
    <w:p>
      <w:pPr>
        <w:ind w:left="652" w:hanging="652"/>
        <w:spacing w:after="0"/>
        <w:tabs>
          <w:tab w:leader="none" w:pos="65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By electing to participate in the Plan, I acknowledge, understand and agree that:</w:t>
      </w:r>
    </w:p>
    <w:p>
      <w:pPr>
        <w:spacing w:after="0" w:line="156" w:lineRule="exact"/>
        <w:rPr>
          <w:rFonts w:ascii="Times New Roman" w:cs="Times New Roman" w:eastAsia="Times New Roman" w:hAnsi="Times New Roman"/>
          <w:sz w:val="22"/>
          <w:szCs w:val="22"/>
          <w:color w:val="auto"/>
        </w:rPr>
      </w:pPr>
    </w:p>
    <w:p>
      <w:pPr>
        <w:ind w:left="3232" w:hanging="2260"/>
        <w:spacing w:after="0" w:line="287" w:lineRule="auto"/>
        <w:tabs>
          <w:tab w:leader="none" w:pos="161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period mandated under local law shall not be treated as active service for the purpose of determining my Continuous Status as an Employee; and my right to participate in the Plan and purchase any options granted to me under the Plan will cease upon termination of my Continuous Status as an Employee. Subject to the foregoing and the provisions of the Plan, the Company, in its sole discretion, shall determine whether my Continuous Status as an Employee has terminated and the effective date of such termination;</w:t>
      </w:r>
    </w:p>
    <w:p>
      <w:pPr>
        <w:spacing w:after="0" w:line="75" w:lineRule="exact"/>
        <w:rPr>
          <w:rFonts w:ascii="Times New Roman" w:cs="Times New Roman" w:eastAsia="Times New Roman" w:hAnsi="Times New Roman"/>
          <w:sz w:val="22"/>
          <w:szCs w:val="22"/>
          <w:color w:val="auto"/>
        </w:rPr>
      </w:pPr>
    </w:p>
    <w:p>
      <w:pPr>
        <w:ind w:left="1612" w:hanging="640"/>
        <w:spacing w:after="0"/>
        <w:tabs>
          <w:tab w:leader="none" w:pos="161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w:t>
      </w:r>
    </w:p>
    <w:p>
      <w:pPr>
        <w:spacing w:after="0" w:line="152" w:lineRule="exact"/>
        <w:rPr>
          <w:rFonts w:ascii="Times New Roman" w:cs="Times New Roman" w:eastAsia="Times New Roman" w:hAnsi="Times New Roman"/>
          <w:sz w:val="22"/>
          <w:szCs w:val="22"/>
          <w:color w:val="auto"/>
        </w:rPr>
      </w:pPr>
    </w:p>
    <w:p>
      <w:pPr>
        <w:ind w:left="3232" w:hanging="2260"/>
        <w:spacing w:after="0" w:line="309" w:lineRule="auto"/>
        <w:tabs>
          <w:tab w:leader="none" w:pos="161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discretionary in nature and the Company can amend, cancel, or terminate the Plan at any time, unless otherwise provided in the Plan and this Subscription Agreement;</w:t>
      </w:r>
    </w:p>
    <w:p>
      <w:pPr>
        <w:sectPr>
          <w:pgSz w:w="11900" w:h="16838" w:orient="portrait"/>
          <w:cols w:equalWidth="0" w:num="1">
            <w:col w:w="11412"/>
          </w:cols>
          <w:pgMar w:left="248" w:top="382" w:right="239" w:bottom="1440" w:gutter="0" w:footer="0" w:header="0"/>
        </w:sectPr>
      </w:pPr>
    </w:p>
    <w:bookmarkStart w:id="133" w:name="page134"/>
    <w:bookmarkEnd w:id="133"/>
    <w:p>
      <w:pPr>
        <w:ind w:left="3232" w:hanging="2260"/>
        <w:spacing w:after="0" w:line="295"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options under the Plan is voluntary and occasional, and does not create any contractual or other future rights to purchase shares, or benefits in lieu of such rights, even if the rights to purchase shares have been granted in the past;</w:t>
      </w:r>
    </w:p>
    <w:p>
      <w:pPr>
        <w:spacing w:after="0" w:line="66" w:lineRule="exact"/>
        <w:rPr>
          <w:rFonts w:ascii="Times New Roman" w:cs="Times New Roman" w:eastAsia="Times New Roman" w:hAnsi="Times New Roman"/>
          <w:sz w:val="22"/>
          <w:szCs w:val="22"/>
          <w:color w:val="auto"/>
        </w:rPr>
      </w:pPr>
    </w:p>
    <w:p>
      <w:pPr>
        <w:ind w:left="3232" w:hanging="2260"/>
        <w:spacing w:after="0" w:line="309"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options under the Plan, if applicable, will be at the sole discretion of the Company;</w:t>
      </w:r>
    </w:p>
    <w:p>
      <w:pPr>
        <w:spacing w:after="0" w:line="50" w:lineRule="exact"/>
        <w:rPr>
          <w:rFonts w:ascii="Times New Roman" w:cs="Times New Roman" w:eastAsia="Times New Roman" w:hAnsi="Times New Roman"/>
          <w:sz w:val="22"/>
          <w:szCs w:val="22"/>
          <w:color w:val="auto"/>
        </w:rPr>
      </w:pPr>
    </w:p>
    <w:p>
      <w:pPr>
        <w:ind w:left="3232" w:hanging="2260"/>
        <w:spacing w:after="0" w:line="308" w:lineRule="auto"/>
        <w:tabs>
          <w:tab w:leader="none" w:pos="1611"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options under the Plan and my participation in the Plan shall not create a right to employment or be interpreted as forming an employment or service contract with the Company, the Employer, or any parent, Subsidiary or Affiliate, and shall not interfere with the ability of the Company, the Employer, or any parent, Subsidiary or Affiliate to terminate my employment (if any);</w:t>
      </w:r>
    </w:p>
    <w:p>
      <w:pPr>
        <w:spacing w:after="0" w:line="56" w:lineRule="exact"/>
        <w:rPr>
          <w:rFonts w:ascii="Times New Roman" w:cs="Times New Roman" w:eastAsia="Times New Roman" w:hAnsi="Times New Roman"/>
          <w:sz w:val="21"/>
          <w:szCs w:val="21"/>
          <w:color w:val="auto"/>
        </w:rPr>
      </w:pPr>
    </w:p>
    <w:p>
      <w:pPr>
        <w:ind w:left="1612" w:hanging="640"/>
        <w:spacing w:after="0"/>
        <w:tabs>
          <w:tab w:leader="none" w:pos="161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152" w:lineRule="exact"/>
        <w:rPr>
          <w:rFonts w:ascii="Times New Roman" w:cs="Times New Roman" w:eastAsia="Times New Roman" w:hAnsi="Times New Roman"/>
          <w:sz w:val="22"/>
          <w:szCs w:val="22"/>
          <w:color w:val="auto"/>
        </w:rPr>
      </w:pPr>
    </w:p>
    <w:p>
      <w:pPr>
        <w:ind w:left="3232" w:hanging="2260"/>
        <w:spacing w:after="0" w:line="309"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intended to replace any pension rights or compensation;</w:t>
      </w:r>
    </w:p>
    <w:p>
      <w:pPr>
        <w:spacing w:after="0" w:line="50" w:lineRule="exact"/>
        <w:rPr>
          <w:rFonts w:ascii="Times New Roman" w:cs="Times New Roman" w:eastAsia="Times New Roman" w:hAnsi="Times New Roman"/>
          <w:sz w:val="22"/>
          <w:szCs w:val="22"/>
          <w:color w:val="auto"/>
        </w:rPr>
      </w:pPr>
    </w:p>
    <w:p>
      <w:pPr>
        <w:ind w:left="3232" w:hanging="2260"/>
        <w:spacing w:after="0" w:line="288"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75" w:lineRule="exact"/>
        <w:rPr>
          <w:rFonts w:ascii="Times New Roman" w:cs="Times New Roman" w:eastAsia="Times New Roman" w:hAnsi="Times New Roman"/>
          <w:sz w:val="22"/>
          <w:szCs w:val="22"/>
          <w:color w:val="auto"/>
        </w:rPr>
      </w:pPr>
    </w:p>
    <w:p>
      <w:pPr>
        <w:ind w:left="3232" w:right="20" w:hanging="2260"/>
        <w:spacing w:after="0" w:line="309"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underlying the options granted under the Plan is unknown, indeterminable and cannot be predicted with certainty;</w:t>
      </w:r>
    </w:p>
    <w:p>
      <w:pPr>
        <w:spacing w:after="0" w:line="50" w:lineRule="exact"/>
        <w:rPr>
          <w:rFonts w:ascii="Times New Roman" w:cs="Times New Roman" w:eastAsia="Times New Roman" w:hAnsi="Times New Roman"/>
          <w:sz w:val="22"/>
          <w:szCs w:val="22"/>
          <w:color w:val="auto"/>
        </w:rPr>
      </w:pPr>
    </w:p>
    <w:p>
      <w:pPr>
        <w:ind w:left="3232" w:hanging="2260"/>
        <w:spacing w:after="0" w:line="309"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Common Stock that I acquire under the Plan may increase, remain the same, or decrease in value, even below the per share purchase price; and</w:t>
      </w:r>
    </w:p>
    <w:p>
      <w:pPr>
        <w:spacing w:after="0" w:line="50" w:lineRule="exact"/>
        <w:rPr>
          <w:rFonts w:ascii="Times New Roman" w:cs="Times New Roman" w:eastAsia="Times New Roman" w:hAnsi="Times New Roman"/>
          <w:sz w:val="22"/>
          <w:szCs w:val="22"/>
          <w:color w:val="auto"/>
        </w:rPr>
      </w:pPr>
    </w:p>
    <w:p>
      <w:pPr>
        <w:ind w:left="3232" w:hanging="2260"/>
        <w:spacing w:after="0" w:line="287" w:lineRule="auto"/>
        <w:tabs>
          <w:tab w:leader="none" w:pos="161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the forfeiture of options granted to me under the Plan as a result of the termination of my status as an Employee (for any reason whatsoever, and whether or not later found to be invalid or in breach of employment laws in the jurisdiction where I am employed or the terms of my employment agreement, if any) and in consideration of the grant of the options I agree not to institute any claim against the Company, the Employer or any of the other Subsidiaries or Affiliates of the Company.</w:t>
      </w:r>
    </w:p>
    <w:p>
      <w:pPr>
        <w:spacing w:after="0" w:line="339" w:lineRule="exact"/>
        <w:rPr>
          <w:rFonts w:ascii="Times New Roman" w:cs="Times New Roman" w:eastAsia="Times New Roman" w:hAnsi="Times New Roman"/>
          <w:sz w:val="22"/>
          <w:szCs w:val="22"/>
          <w:color w:val="auto"/>
        </w:rPr>
      </w:pPr>
    </w:p>
    <w:p>
      <w:pPr>
        <w:ind w:left="1292" w:right="20" w:hanging="1292"/>
        <w:spacing w:after="0" w:line="315" w:lineRule="auto"/>
        <w:tabs>
          <w:tab w:leader="none" w:pos="644" w:val="left"/>
        </w:tabs>
        <w:numPr>
          <w:ilvl w:val="0"/>
          <w:numId w:val="1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b w:val="1"/>
          <w:bCs w:val="1"/>
          <w:i w:val="1"/>
          <w:iCs w:val="1"/>
          <w:color w:val="auto"/>
        </w:rPr>
        <w:t>I hereby explicitly and unambiguously consent to the collection, use and transfer, in electronic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form, of my personal data as described in the Subscription</w:t>
      </w:r>
    </w:p>
    <w:p>
      <w:pPr>
        <w:sectPr>
          <w:pgSz w:w="11900" w:h="16838" w:orient="portrait"/>
          <w:cols w:equalWidth="0" w:num="1">
            <w:col w:w="11412"/>
          </w:cols>
          <w:pgMar w:left="248" w:top="382" w:right="239" w:bottom="1440" w:gutter="0" w:footer="0" w:header="0"/>
        </w:sectPr>
      </w:pPr>
    </w:p>
    <w:bookmarkStart w:id="134" w:name="page135"/>
    <w:bookmarkEnd w:id="134"/>
    <w:p>
      <w:pPr>
        <w:jc w:val="both"/>
        <w:spacing w:after="0" w:line="298" w:lineRule="auto"/>
        <w:rPr>
          <w:sz w:val="20"/>
          <w:szCs w:val="20"/>
          <w:color w:val="auto"/>
        </w:rPr>
      </w:pPr>
      <w:r>
        <w:rPr>
          <w:rFonts w:ascii="Times New Roman" w:cs="Times New Roman" w:eastAsia="Times New Roman" w:hAnsi="Times New Roman"/>
          <w:sz w:val="22"/>
          <w:szCs w:val="22"/>
          <w:b w:val="1"/>
          <w:bCs w:val="1"/>
          <w:i w:val="1"/>
          <w:iCs w:val="1"/>
          <w:color w:val="auto"/>
        </w:rPr>
        <w:t>Agreement and any other Plan materials by and among, as applicable, the Employer, the Company and its parents, Subsidiaries and Affiliates for the exclusive purpose of implementing, administering and managing my participation in the Plan.</w:t>
      </w:r>
    </w:p>
    <w:p>
      <w:pPr>
        <w:spacing w:after="0" w:line="24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i w:val="1"/>
          <w:iCs w:val="1"/>
          <w:color w:val="auto"/>
        </w:rPr>
        <w:t>I understand that the Company and the Employer may hold certain personal information about me, including, but not limited to, my name, home address and telephone number, email address, date of birth, social insurance number, passport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(“Data”), for the exclusive purpose of implementing, administering and managing the Plan.</w:t>
      </w:r>
    </w:p>
    <w:p>
      <w:pPr>
        <w:spacing w:after="0" w:line="25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2"/>
          <w:szCs w:val="22"/>
          <w:b w:val="1"/>
          <w:bCs w:val="1"/>
          <w:i w:val="1"/>
          <w:iCs w:val="1"/>
          <w:color w:val="auto"/>
        </w:rPr>
        <w:t>I understand that Data will be transferred to E*TRADE,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data privacy laws and protections than my country. I understand that I may request a list with the names and addresses of any potential recipients of the Data by contacting my local human resources representative. I authorize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the Employer will not be affected; the only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ectPr>
          <w:pgSz w:w="11900" w:h="16838" w:orient="portrait"/>
          <w:cols w:equalWidth="0" w:num="1">
            <w:col w:w="10760"/>
          </w:cols>
          <w:pgMar w:left="900" w:top="376" w:right="239" w:bottom="1440" w:gutter="0" w:footer="0" w:header="0"/>
        </w:sectPr>
      </w:pPr>
    </w:p>
    <w:bookmarkStart w:id="135" w:name="page136"/>
    <w:bookmarkEnd w:id="135"/>
    <w:p>
      <w:pPr>
        <w:jc w:val="both"/>
        <w:ind w:left="652" w:hanging="652"/>
        <w:spacing w:after="0" w:line="292" w:lineRule="auto"/>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recommendations regarding my participation in the Plan, or my acquisition or sale of the underlying shares of Common Stock. I am hereby advised to consult with my own personal tax, legal and financial advisors regarding my participation in the Plan before taking any action related to the Plan.</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92" w:lineRule="auto"/>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I understand the exercise of an option right to receive shares of Common Stock under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transfer, assignment, sale, or other dealings of such shares of Common Stock shall be subject to compliance by the Company and me with all applicable requirements of local law. Furthermore, I agree that I will not acquire shares of Common Stock pursuant to the Plan except in compliance with all requirements of local law.</w:t>
      </w:r>
    </w:p>
    <w:p>
      <w:pPr>
        <w:spacing w:after="0" w:line="164" w:lineRule="exact"/>
        <w:rPr>
          <w:sz w:val="20"/>
          <w:szCs w:val="20"/>
          <w:color w:val="auto"/>
        </w:rPr>
      </w:pPr>
    </w:p>
    <w:p>
      <w:pPr>
        <w:jc w:val="both"/>
        <w:ind w:left="652" w:firstLine="1297"/>
        <w:spacing w:after="0" w:line="245" w:lineRule="auto"/>
        <w:rPr>
          <w:sz w:val="20"/>
          <w:szCs w:val="20"/>
          <w:color w:val="auto"/>
        </w:rPr>
      </w:pPr>
      <w:r>
        <w:rPr>
          <w:rFonts w:ascii="Times New Roman" w:cs="Times New Roman" w:eastAsia="Times New Roman" w:hAnsi="Times New Roman"/>
          <w:sz w:val="22"/>
          <w:szCs w:val="22"/>
          <w:color w:val="auto"/>
        </w:rPr>
        <w:t>Notwithstanding any other provision of the Plan or the Subscription Agreement, unless there is an available exemption from any registration, qualification or other legal requirement applicable to the shares of Common Stock, the Company shall not be required to deliver any shares of Common Stock issuable upon exercise of an option under the Plan prior to the completion of any registration or qualification of the shares of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I understand that the Company is under no obligation to register or qualify the shares of Common Stock with the SEC or any state or foreign securities commission or to seek approval or clearance from any governmental authority for the issuance or sale of the shares of Common Stock. I also agree the Company shall have unilateral authority to amend the Plan and the Subscription Agreement without my consent to the extent necessary to comply with securities or other laws applicable to issuance of shares of Common Stock.</w:t>
      </w:r>
    </w:p>
    <w:p>
      <w:pPr>
        <w:spacing w:after="0" w:line="200" w:lineRule="exact"/>
        <w:rPr>
          <w:sz w:val="20"/>
          <w:szCs w:val="20"/>
          <w:color w:val="auto"/>
        </w:rPr>
      </w:pPr>
    </w:p>
    <w:p>
      <w:pPr>
        <w:spacing w:after="0" w:line="222" w:lineRule="exact"/>
        <w:rPr>
          <w:sz w:val="20"/>
          <w:szCs w:val="20"/>
          <w:color w:val="auto"/>
        </w:rPr>
      </w:pPr>
    </w:p>
    <w:p>
      <w:pPr>
        <w:jc w:val="both"/>
        <w:ind w:left="652" w:hanging="652"/>
        <w:spacing w:after="0" w:line="297" w:lineRule="auto"/>
        <w:tabs>
          <w:tab w:leader="none" w:pos="6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If I have received the Subscription Agreement or any other document related to the Plan translated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language other than English and if the meaning of the translated version is different than the English version, the English version will control.</w:t>
      </w:r>
    </w:p>
    <w:p>
      <w:pPr>
        <w:spacing w:after="0" w:line="384" w:lineRule="exact"/>
        <w:rPr>
          <w:rFonts w:ascii="Times New Roman" w:cs="Times New Roman" w:eastAsia="Times New Roman" w:hAnsi="Times New Roman"/>
          <w:sz w:val="22"/>
          <w:szCs w:val="22"/>
          <w:color w:val="auto"/>
        </w:rPr>
      </w:pPr>
    </w:p>
    <w:p>
      <w:pPr>
        <w:jc w:val="both"/>
        <w:ind w:left="652" w:hanging="652"/>
        <w:spacing w:after="0" w:line="292" w:lineRule="auto"/>
        <w:tabs>
          <w:tab w:leader="none" w:pos="6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Insider Trading</w:t>
      </w:r>
      <w:r>
        <w:rPr>
          <w:rFonts w:ascii="Times New Roman" w:cs="Times New Roman" w:eastAsia="Times New Roman" w:hAnsi="Times New Roman"/>
          <w:sz w:val="22"/>
          <w:szCs w:val="22"/>
          <w:color w:val="auto"/>
        </w:rPr>
        <w:t>. By participating in the Plan, I agree to comply with the Autodesk, Inc. Insider Trading Policy. Further,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my country of residence also may have laws or regulations governing insider trading and that such laws or regulations may impose additional restrictions on my ability to participate in the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acquiring or selling shares of Common Stock) and that I am solely responsible for complying with such laws or regulations.</w:t>
      </w:r>
    </w:p>
    <w:p>
      <w:pPr>
        <w:sectPr>
          <w:pgSz w:w="11900" w:h="16838" w:orient="portrait"/>
          <w:cols w:equalWidth="0" w:num="1">
            <w:col w:w="11412"/>
          </w:cols>
          <w:pgMar w:left="248" w:top="378" w:right="239" w:bottom="1440" w:gutter="0" w:footer="0" w:header="0"/>
        </w:sectPr>
      </w:pPr>
    </w:p>
    <w:bookmarkStart w:id="136" w:name="page137"/>
    <w:bookmarkEnd w:id="136"/>
    <w:p>
      <w:pPr>
        <w:jc w:val="both"/>
        <w:ind w:left="652" w:hanging="652"/>
        <w:spacing w:after="0" w:line="287" w:lineRule="auto"/>
        <w:tabs>
          <w:tab w:leader="none" w:pos="65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Asset and Account Reporting</w:t>
      </w:r>
      <w:r>
        <w:rPr>
          <w:rFonts w:ascii="Times New Roman" w:cs="Times New Roman" w:eastAsia="Times New Roman" w:hAnsi="Times New Roman"/>
          <w:sz w:val="22"/>
          <w:szCs w:val="22"/>
          <w:color w:val="auto"/>
        </w:rPr>
        <w:t>. If I reside outside the United States, I acknowledge my country of residence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certain foreign asset and/or account reporting requirements which may affect my ability to acquire or hold shares of Common Stock under the Plan or cash received from participating in the Plan (including from any dividends receives or sales proceeds arising from the sale of share of Common Stock under the Plan) in a brokerage or bank account outside my country of residence. I may be required to report such accounts, assets or transactions to the tax or other authorities. I acknowledge it is my responsibility to be compliant with such regulations and I should speak with my personal advisor on this matter.</w:t>
      </w:r>
    </w:p>
    <w:p>
      <w:pPr>
        <w:sectPr>
          <w:pgSz w:w="11900" w:h="16838" w:orient="portrait"/>
          <w:cols w:equalWidth="0" w:num="1">
            <w:col w:w="11412"/>
          </w:cols>
          <w:pgMar w:left="248" w:top="594" w:right="239" w:bottom="1440" w:gutter="0" w:footer="0" w:header="0"/>
        </w:sectPr>
      </w:pPr>
    </w:p>
    <w:bookmarkStart w:id="137" w:name="page138"/>
    <w:bookmarkEnd w:id="137"/>
    <w:p>
      <w:pPr>
        <w:ind w:left="5060"/>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AUTODESK, INC.</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u w:val="single" w:color="auto"/>
          <w:color w:val="auto"/>
        </w:rPr>
        <w:t>INTERNATIONAL EMPLOYEE QUALIFIED STOCK PURCHASE PLAN</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COUNTRY-SPECIFIC PROVISIONS FOR PARTICIPANTS OUTSIDE THE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 understand this Appendix B includes additional terms and conditions that govern the options to purchase shares of Common Stock granted to me under the Plan if I work in one of the countries listed below. If I am a citizen or resident of a country other than the one in which I am currently working (or if I am considered as such for local law purposes), or if I move to another country after enrolling in the Plan, I acknowledge and agree the Company will, in its discretion, determine the extent to which the terms and conditions herein will be applicable to me.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US Plan or International Plan, as applicable, the Subscription Agreement or Appendix A to the Subscription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I understand this Appendix B also includes information regarding securities laws, exchange controls and certain other issues of which I should be aware with respect to my participation in the Plan. The information is based on the securities, exchange control and other laws in effect in the respective countries as of May 2016. Such laws are often complex and change frequently. As a result, I understand the Company recommends that I not rely on the information in this Appendix B as the only source of information relating to the consequences of my participation in the Plan because the information included herein may be out of date at the time that I exercise my option and purchase shares of Common Stock under the Plan or subsequently sell such shares of Common Stock.</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In addition, I understand the information contained herein is general in nature and may not apply to my particular situation and the Company is not in a position to assure me of any particular result. </w:t>
      </w:r>
      <w:r>
        <w:rPr>
          <w:rFonts w:ascii="Times New Roman" w:cs="Times New Roman" w:eastAsia="Times New Roman" w:hAnsi="Times New Roman"/>
          <w:sz w:val="22"/>
          <w:szCs w:val="22"/>
          <w:b w:val="1"/>
          <w:bCs w:val="1"/>
          <w:color w:val="auto"/>
        </w:rPr>
        <w:t>Accordingly, I understand I should seek appropriate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professional advice as to how the relevant laws in my country may apply to my particular situation.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I am a citizen or resident of a country other than the one in which I am currently working (or if I am considered as such for local law purposes), or if I move to another country after enrolling in the Plan, I understand that the information contained herein may not be applicable to me.</w:t>
      </w:r>
    </w:p>
    <w:p>
      <w:pPr>
        <w:sectPr>
          <w:pgSz w:w="11900" w:h="16838" w:orient="portrait"/>
          <w:cols w:equalWidth="0" w:num="1">
            <w:col w:w="11420"/>
          </w:cols>
          <w:pgMar w:left="240" w:top="797"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2"/>
          <w:szCs w:val="22"/>
          <w:b w:val="1"/>
          <w:bCs w:val="1"/>
          <w:color w:val="auto"/>
        </w:rPr>
        <w:t>ARGENTINA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This provision supplements Section 4 of Appendix A to the Subscription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accepting the options, I acknowledge and agree that the options granted under the Plan are made by the Company (not the Employer) in its sole discretion and that the value of the options or any shares of Common Stock acquired under the Plan shall not constitute salary or wages for any purpose under Argentine labor law, including, but not limited to, the calculation of (i) any labor benefits including, but not limited to, vacation pay, thirteenth salary, compensation in lieu of notice, annual bonus, disability, and leave of absence payments, etc., or (ii) any termination or severance indemnities or similar payments.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Nature of the Plan</w:t>
      </w:r>
      <w:r>
        <w:rPr>
          <w:rFonts w:ascii="Times New Roman" w:cs="Times New Roman" w:eastAsia="Times New Roman" w:hAnsi="Times New Roman"/>
          <w:sz w:val="22"/>
          <w:szCs w:val="22"/>
          <w:color w:val="auto"/>
        </w:rPr>
        <w:t>. I understand the Plan is a voluntary savings plan and I acknowledge that any contributions I elect to make under the Plan are made by me on an entirely voluntary basis. I understand that I may freely withdraw from participation in the Plan in accordance with the provisions of the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I understand neither the grant of options under the Plan nor the purchase of shares of Common Stock care publicly offered or listed on any stock exchange in Argentina. The offer is private and not subject to the supervision of any Argentine governmental authority.</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I am an Argentine resident, I understand I must comply with any and all Argentine currency exchange restrictions, approvals and reporting requirements in connection with this option grant under the Plan. If I am an Argentine resident, I further understand I should consult with my personal advisor to confirm what will be required (if anything) as the exchange control rules and regulations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u w:val="single" w:color="auto"/>
          <w:color w:val="auto"/>
        </w:rPr>
        <w:t>Australia Class Order Exemption</w:t>
      </w:r>
      <w:r>
        <w:rPr>
          <w:rFonts w:ascii="Times New Roman" w:cs="Times New Roman" w:eastAsia="Times New Roman" w:hAnsi="Times New Roman"/>
          <w:sz w:val="22"/>
          <w:szCs w:val="22"/>
          <w:color w:val="auto"/>
        </w:rPr>
        <w:t>. I understand the offering of the Plan in Australia is intended to qualify for exemption from the prospectus requirements under a Class Order issued by the Australian Securities and Investments Commission. I also understand my right to purchase shares of Common Stock is subject to the terms and conditions set forth in the Offer Document, attached hereto as Appendix C, the Plan, and the Subscription Agreement, including Appendix A and this Appendix B.</w:t>
      </w:r>
    </w:p>
    <w:p>
      <w:pPr>
        <w:sectPr>
          <w:pgSz w:w="11900" w:h="16838" w:orient="portrait"/>
          <w:cols w:equalWidth="0" w:num="1">
            <w:col w:w="11420"/>
          </w:cols>
          <w:pgMar w:left="240" w:top="365" w:right="239" w:bottom="1440" w:gutter="0" w:footer="0" w:header="0"/>
        </w:sectPr>
      </w:pPr>
    </w:p>
    <w:bookmarkStart w:id="139" w:name="page140"/>
    <w:bookmarkEnd w:id="139"/>
    <w:p>
      <w:pPr>
        <w:jc w:val="both"/>
        <w:spacing w:after="0" w:line="295" w:lineRule="auto"/>
        <w:rPr>
          <w:sz w:val="20"/>
          <w:szCs w:val="20"/>
          <w:color w:val="auto"/>
        </w:rPr>
      </w:pPr>
      <w:r>
        <w:rPr>
          <w:rFonts w:ascii="Times New Roman" w:cs="Times New Roman" w:eastAsia="Times New Roman" w:hAnsi="Times New Roman"/>
          <w:sz w:val="22"/>
          <w:szCs w:val="22"/>
          <w:u w:val="single" w:color="auto"/>
          <w:color w:val="auto"/>
        </w:rPr>
        <w:t>Exchange Control Notification</w:t>
      </w:r>
      <w:r>
        <w:rPr>
          <w:rFonts w:ascii="Times New Roman" w:cs="Times New Roman" w:eastAsia="Times New Roman" w:hAnsi="Times New Roman"/>
          <w:sz w:val="22"/>
          <w:szCs w:val="22"/>
          <w:color w:val="auto"/>
        </w:rPr>
        <w:t>. If I am an Australian resident, I understand exchange control reporting is required for cash transactions exceeding A$10,000 and international fund transfers. If an Australian bank is assisting with the transaction, the bank will file the report on my behalf. If there is no Australian bank involved in the transfer, I will be required to file the report.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Interest Waiver</w:t>
      </w:r>
      <w:r>
        <w:rPr>
          <w:rFonts w:ascii="Times New Roman" w:cs="Times New Roman" w:eastAsia="Times New Roman" w:hAnsi="Times New Roman"/>
          <w:sz w:val="22"/>
          <w:szCs w:val="22"/>
          <w:color w:val="auto"/>
        </w:rPr>
        <w:t>. By enrolling in the Plan and accepting the terms of the Subscription Agreement, including Appendix A, I consent to waive my right to any interest arising in relation to the payroll deductions/contributions taken from my Compensation in connection with my participation in the Plan.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I hold shares of Common Stock obtained through the Plan outside Austria, I may be required to submit reports to the Austrian National Bank as follows: (i) on a quarterly basis if the value of the shares of Common Stock as of any given quarter meets or exceeds €30,000,000; and (ii) on an annual basis if the value of the shares of Common Stock as of December 31 meets or exceeds €5,000,000. The quarterly reporting date is as of the last day of the respective quarter; the deadline for filing the quarterly report is the 15th day of the month following the end of the respective quarter. The deadline for filing the annual report is January 31 of the following year.</w:t>
      </w:r>
    </w:p>
    <w:p>
      <w:pPr>
        <w:spacing w:after="0" w:line="3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when the shares of Common Stock are sold or a dividend is received, I may be required to comply with certain exchange control obligations if the cash proceeds from the sale are held outside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Undertaking</w:t>
      </w:r>
      <w:r>
        <w:rPr>
          <w:rFonts w:ascii="Times New Roman" w:cs="Times New Roman" w:eastAsia="Times New Roman" w:hAnsi="Times New Roman"/>
          <w:sz w:val="22"/>
          <w:szCs w:val="22"/>
          <w:color w:val="auto"/>
        </w:rPr>
        <w:t>. Under current Belgian tax law, if I execute an undertaking to hold the shares of Common Stock for two years from the Exercise Date, I may receive favorable tax treatment. I should consult with my personal tax advisor to determine the tax treatment and whether to execute an undertaking.</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I wish to execute an undertaking to hold the shares of Common Stock for two years from the Exercise Date, I should print, sign and return a copy of the attached undertaking form (the “Undertaking”) to the Company’s Stock Administrator &lt;Stock.Administrator@autodesk.com&gt;. I also should retain a copy of the Undertaking in my records and include a copy when I file my income tax return.</w:t>
      </w:r>
    </w:p>
    <w:p>
      <w:pPr>
        <w:sectPr>
          <w:pgSz w:w="11900" w:h="16838" w:orient="portrait"/>
          <w:cols w:equalWidth="0" w:num="1">
            <w:col w:w="11420"/>
          </w:cols>
          <w:pgMar w:left="240" w:top="382" w:right="239" w:bottom="1440" w:gutter="0" w:footer="0" w:header="0"/>
        </w:sectPr>
      </w:pPr>
    </w:p>
    <w:bookmarkStart w:id="140" w:name="page141"/>
    <w:bookmarkEnd w:id="140"/>
    <w:p>
      <w:pPr>
        <w:ind w:left="4860"/>
        <w:spacing w:after="0"/>
        <w:rPr>
          <w:sz w:val="20"/>
          <w:szCs w:val="20"/>
          <w:color w:val="auto"/>
        </w:rPr>
      </w:pPr>
      <w:r>
        <w:rPr>
          <w:rFonts w:ascii="Times New Roman" w:cs="Times New Roman" w:eastAsia="Times New Roman" w:hAnsi="Times New Roman"/>
          <w:sz w:val="22"/>
          <w:szCs w:val="22"/>
          <w:u w:val="single" w:color="auto"/>
          <w:color w:val="auto"/>
        </w:rPr>
        <w:t>AUTODESK, INC.</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u w:val="single" w:color="auto"/>
          <w:color w:val="auto"/>
        </w:rPr>
        <w:t>EMPLOYEE QUALIFIED STOCK PURCHASE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UNDERTAKING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 IN BELGIUM</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the undersigned, have been offered the opportunity to participate in the Autodesk, Inc. International Employee Stock Purchase Plan, as amended and restated, of Autodesk, Inc., a sub-plan of the Autodesk, Inc. 1998 Employee Qualified Stock Purchase Plan; therefore, on each Exercise Date for an Offering Period (as defined in the Plan), I have the opportunity to purchase a certain number of shares of Autodesk, Inc. Common Stock.</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Belgian tax purposes, I, the undersigned, hereby undertake to hold the shares of Common Stock purchased on each respective Exercise Date for a period of at least two years, commencing on the respective Exercise Date.</w:t>
      </w:r>
    </w:p>
    <w:p>
      <w:pPr>
        <w:spacing w:after="0" w:line="200" w:lineRule="exact"/>
        <w:rPr>
          <w:sz w:val="20"/>
          <w:szCs w:val="20"/>
          <w:color w:val="auto"/>
        </w:rPr>
      </w:pPr>
    </w:p>
    <w:p>
      <w:pPr>
        <w:spacing w:after="0" w:line="2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___________________________________________________________</w:t>
      </w:r>
    </w:p>
    <w:p>
      <w:pPr>
        <w:spacing w:after="0" w:line="200" w:lineRule="exact"/>
        <w:rPr>
          <w:sz w:val="20"/>
          <w:szCs w:val="20"/>
          <w:color w:val="auto"/>
        </w:rPr>
      </w:pPr>
    </w:p>
    <w:p>
      <w:pPr>
        <w:spacing w:after="0" w:line="3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___________________________________________________________</w:t>
      </w:r>
    </w:p>
    <w:p>
      <w:pPr>
        <w:spacing w:after="0" w:line="200" w:lineRule="exact"/>
        <w:rPr>
          <w:sz w:val="20"/>
          <w:szCs w:val="20"/>
          <w:color w:val="auto"/>
        </w:rPr>
      </w:pPr>
    </w:p>
    <w:p>
      <w:pPr>
        <w:spacing w:after="0" w:line="3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420"/>
          </w:cols>
          <w:pgMar w:left="240" w:top="841" w:right="2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u w:val="single" w:color="auto"/>
          <w:color w:val="auto"/>
        </w:rPr>
        <w:t>Authorization for Plan Participation</w:t>
      </w:r>
      <w:r>
        <w:rPr>
          <w:rFonts w:ascii="Times New Roman" w:cs="Times New Roman" w:eastAsia="Times New Roman" w:hAnsi="Times New Roman"/>
          <w:sz w:val="21"/>
          <w:szCs w:val="21"/>
          <w:color w:val="auto"/>
        </w:rPr>
        <w:t>. I hereby authorize the percentage of my Compensation (from 0 to 15%) indicated by me on the Company’s online enrollment tool to be deducted during each pay period during the Offering Period in accordance with the Plan. I further authorize the Employer to remit such accumulated payroll deductions on my behalf to the United States of America to purchase the shares of Common Stock under the terms of the Plan, as provided by Circular No. 3,280/05 of the Central Bank.</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request of the Company or the Employer, I agree to execute a letter of authorization and any other agreements or consents that may be required to enable the Employer, the Company, any Subsidiary, Affiliate or any third party designated by the Employer or the Company to remit my accumulated payroll deductions from Brazil for the purchase of shares of Common Stock. I understand that if I fail to execute a letter of authorization or any other form of agreement or consent that is required to remit my payroll deductions, I will not be able to participate in the Plan.</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By completing the enrollment process and accepting the Subscription Agreement, I agree to comply with applicable Brazilian laws and to report and pay any and all applicable Tax-Related Items associated with the purchase and sale of any shares of Common Stock acquired through my participation in the Plan and the receipt of any dividends on such shares.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u w:val="single" w:color="auto"/>
          <w:color w:val="auto"/>
        </w:rPr>
        <w:t>Labor Law Acknowledgement</w:t>
      </w:r>
      <w:r>
        <w:rPr>
          <w:rFonts w:ascii="Times New Roman" w:cs="Times New Roman" w:eastAsia="Times New Roman" w:hAnsi="Times New Roman"/>
          <w:sz w:val="21"/>
          <w:szCs w:val="21"/>
          <w:color w:val="auto"/>
        </w:rPr>
        <w:t>: By participating in the Plan, I agree that (i) I am making an investment decision, (ii) shares of Common Stock will be purchased on my behalf only if I remain employed by the Company or a Subsidiary or Affiliate designated by the Board or Board Committee as participating in the Plan on the applicable Exercise Date, and (iii) the value of the underlying shares of Common Stock is not fixed and may increase or decrease over the Offering Period without compensation to 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Tax on Financial Transaction</w:t>
      </w:r>
      <w:r>
        <w:rPr>
          <w:rFonts w:ascii="Times New Roman" w:cs="Times New Roman" w:eastAsia="Times New Roman" w:hAnsi="Times New Roman"/>
          <w:sz w:val="22"/>
          <w:szCs w:val="22"/>
          <w:color w:val="auto"/>
        </w:rPr>
        <w:t>. I understand the transfer of my accumulated payroll deductions to the United States of America and the conversion of such amounts from BRL to USD will be subject to the Tax on Financial Transactions, and I agree that the Employer may deduct such tax from my contributions as required by applicable law. I also understand that if I repatriate amounts from the sale of shares of Common Stock or any dividends paid on shares into Brazil, I also may be subject to a Tax on Financial Transactions when funds are converted from USD to BRL.</w:t>
      </w:r>
    </w:p>
    <w:p>
      <w:pPr>
        <w:sectPr>
          <w:pgSz w:w="11900" w:h="16838" w:orient="portrait"/>
          <w:cols w:equalWidth="0" w:num="1">
            <w:col w:w="11420"/>
          </w:cols>
          <w:pgMar w:left="240" w:top="1310" w:right="2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following provision replaces Section 4(k) of Appendix A to the Subscription Agreement:</w:t>
      </w: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purposes of the Agreement, in the event I cease to be an Employee of the Employer (for any reason whatsoever and whether or not later found to be invalid or in breach of local labor laws), my right to participate in the Plan and any options granted to me under the Plan, if any, will terminate effective as of the date that is the earlier of: (a) the date I receive notice of termination of employment from the Company or Employer, or (b) the date I am no longer actively providing services as an Employee of Employer, regardless of any notice period or period of pay in lieu of such notice required under local law (including, but not limited to statutory law, regulatory law and/or common law). The Administrator shall have the exclusive discretion to determine when I am no longer actively providing services (including whether I may still be considered actively providing services while on a leave of absence).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terms and conditions will apply if you are a resident of Quebec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supplements Section 5 of Appendix A to the Subscription Agreement:</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 hereby authorize the Company and the Company’s representatives to discuss with and obtain all relevant information from all personnel, professional or not, involved in the administration and operation of the Plan. I further authorize the Company, any parent, Subsidiary or Affiliate and any stock plan service provider that may be selected by the Company to assist with the Plan to disclose and discuss the Plan with their respective advisors. I further authorize the Company and any parent, Subsidiary or Affiliate to record such information and to keep such information in my employee file.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I understand I am permitted to sell shares of Common Stock purchased under the Plan through the designated broker appointed under the Company provided the resale of shares of Common Stock purchased under the Plan takes place outside Canada through the facilities of a stock exchange on which the shares of Common Stock are listed. The shares of Common Stock are currently listed on the NASDAQ Global Select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CHINA</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The following terms and conditions apply if you are subject to exchange control restrictions and regulations in China, including the requirements imposed by the State Administration of Foreign Exchange (“SAFE”) as determined by the Company in its sole discretion.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ectPr>
          <w:pgSz w:w="11900" w:h="16838" w:orient="portrait"/>
          <w:cols w:equalWidth="0" w:num="1">
            <w:col w:w="11420"/>
          </w:cols>
          <w:pgMar w:left="240" w:top="581" w:right="239" w:bottom="1440" w:gutter="0" w:footer="0" w:header="0"/>
        </w:sectPr>
      </w:pPr>
    </w:p>
    <w:bookmarkStart w:id="143" w:name="page144"/>
    <w:bookmarkEnd w:id="143"/>
    <w:p>
      <w:pPr>
        <w:jc w:val="both"/>
        <w:spacing w:after="0" w:line="259" w:lineRule="auto"/>
        <w:rPr>
          <w:sz w:val="20"/>
          <w:szCs w:val="20"/>
          <w:color w:val="auto"/>
        </w:rPr>
      </w:pPr>
      <w:r>
        <w:rPr>
          <w:rFonts w:ascii="Times New Roman" w:cs="Times New Roman" w:eastAsia="Times New Roman" w:hAnsi="Times New Roman"/>
          <w:sz w:val="21"/>
          <w:szCs w:val="21"/>
          <w:u w:val="single" w:color="auto"/>
          <w:color w:val="auto"/>
        </w:rPr>
        <w:t>Mandatory Sale Restriction</w:t>
      </w:r>
      <w:r>
        <w:rPr>
          <w:rFonts w:ascii="Times New Roman" w:cs="Times New Roman" w:eastAsia="Times New Roman" w:hAnsi="Times New Roman"/>
          <w:sz w:val="21"/>
          <w:szCs w:val="21"/>
          <w:color w:val="auto"/>
        </w:rPr>
        <w:t>. To facilitate compliance with exchange control laws in China, I agree to the sale of any shares of Common Stock to be issued to me upon purchase. The sale will occur (i) immediately upon purchase, (ii) following my termination of employment, or (iii) within any other time frame as the Company determines to be necessary or advisable. I further agree the Company is authorized to instruct its designated broker to assist with the mandatory sale of such shares of Common Stock (on my behalf pursuant to this authorization) and I expressly authorize the Company’s designated broker to complete the sale of such shares of Common Stock. I acknowledge the Company’s designated broker is under no obligation to arrange for the sale of the shares of Common Stock at any particular price. Upon the sale of shares of Common Stock, I understand that the proceeds from the sale of shares of Common Stock will need to be repatriated to China pursuant to the paragraph below, and I agree to comply with all requirements the Company may impose to facilitate compliance with exchange control requirements in the China prior to my receipt of the cash proceeds. I acknowledge I am not aware of any material nonpublic information with respect to the Company or any securities of the Company as of the date of this Subscription Agreement.</w:t>
      </w:r>
    </w:p>
    <w:p>
      <w:pPr>
        <w:spacing w:after="0" w:line="3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Exchange Control Requirements</w:t>
      </w:r>
      <w:r>
        <w:rPr>
          <w:rFonts w:ascii="Times New Roman" w:cs="Times New Roman" w:eastAsia="Times New Roman" w:hAnsi="Times New Roman"/>
          <w:sz w:val="22"/>
          <w:szCs w:val="22"/>
          <w:color w:val="auto"/>
        </w:rPr>
        <w:t>. I understand and agree that, pursuant to local exchange control requirements, I will be required to immediately repatriate the cash proceeds from the sale of shares of Common Stock and any cash dividends paid on such shares of Common Stock to China. I further understand that, under local law, such repatriation of my cash proceeds may need to be effectuated through a special exchange control account established by the Company, the Employer or any other parent, Subsidiary, or Affiliate, and I hereby consent and agree that any proceeds from the sale of shares of Common Stock or any cash dividends paid on such shares of Common Stock may be transferred to such special account prior to being delivered to me.</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proceeds may be paid to me in US dollars or local currency at the Company’s discretion. In the event the proceeds are paid to me in US dollars, I understand that I will be required to set up a US dollar bank account in China and provide the bank account details to my Employer and/or the Company so that the proceeds may be deposited into this account. If the proceeds are paid to me in local currency, the Company is under no obligation to secure any particular exchange conversion rate and/or conversion date and the Company may face delays in converting the proceeds to local currency due to exchange control restrictions. I agree to bear any currency fluctuation risk between the time the shares of Common Stock are sold or dividends are received and the time the proceeds are distributed through any such special exchange account. I further agree to comply with any other requirements that may be imposed by the Company in the future in order to facilitate compliance with exchange control requirements in China.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COLOMBIA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This provision supplements Section 4 of Appendix A to the Subscription Agreement: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acknowledge that pursuant to Article 128 of the Colombian Labor Code, the value of the options or any shares of Common Stock acquired under the Plan do not constitute a component of my</w:t>
      </w:r>
    </w:p>
    <w:p>
      <w:pPr>
        <w:sectPr>
          <w:pgSz w:w="11900" w:h="16838" w:orient="portrait"/>
          <w:cols w:equalWidth="0" w:num="1">
            <w:col w:w="11420"/>
          </w:cols>
          <w:pgMar w:left="240" w:top="369" w:right="239" w:bottom="1440" w:gutter="0" w:footer="0" w:header="0"/>
        </w:sectPr>
      </w:pPr>
    </w:p>
    <w:bookmarkStart w:id="144" w:name="page145"/>
    <w:bookmarkEnd w:id="144"/>
    <w:p>
      <w:pPr>
        <w:jc w:val="both"/>
        <w:ind w:right="20"/>
        <w:spacing w:after="0" w:line="275" w:lineRule="auto"/>
        <w:rPr>
          <w:sz w:val="20"/>
          <w:szCs w:val="20"/>
          <w:color w:val="auto"/>
        </w:rPr>
      </w:pPr>
      <w:r>
        <w:rPr>
          <w:rFonts w:ascii="Times New Roman" w:cs="Times New Roman" w:eastAsia="Times New Roman" w:hAnsi="Times New Roman"/>
          <w:sz w:val="21"/>
          <w:szCs w:val="21"/>
          <w:color w:val="auto"/>
        </w:rPr>
        <w:t>“salary” for any legal purpose. To this extent, the value of the options or any shares of Common Stock acquired under the Plan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Investments in assets located outside Colombia (including the shares of Common Stock) are subject to registration with the Central Bank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xml:space="preserve">) if the aggregate value of such investments is US$500,000 or more (as of December 31 of the applicable calendar year). Further, when shares of Common Stock (or other investments) held abroad are sold, I may either choose to keep the resulting sums abroad, or to repatriate them to Colombia. If I chooses to repatriate funds to Colombia and have not registered the investment with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xml:space="preserve">, I will need to file with </w:t>
      </w:r>
      <w:r>
        <w:rPr>
          <w:rFonts w:ascii="Times New Roman" w:cs="Times New Roman" w:eastAsia="Times New Roman" w:hAnsi="Times New Roman"/>
          <w:sz w:val="22"/>
          <w:szCs w:val="22"/>
          <w:i w:val="1"/>
          <w:iCs w:val="1"/>
          <w:color w:val="auto"/>
        </w:rPr>
        <w:t>Banco de la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República </w:t>
      </w:r>
      <w:r>
        <w:rPr>
          <w:rFonts w:ascii="Times New Roman" w:cs="Times New Roman" w:eastAsia="Times New Roman" w:hAnsi="Times New Roman"/>
          <w:sz w:val="22"/>
          <w:szCs w:val="22"/>
          <w:color w:val="auto"/>
        </w:rPr>
        <w:t>Form No. 5 upon conversion of funds into local currency, which should be duly completed to reflect the nature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transaction. If I have registered the investment with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xml:space="preserve">, then I will need to file with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xml:space="preserve"> Form No. 4 upon conversion of funds into local currency, which should be duly completed to reflect the nature of the transaction. I understand I should obtain proper legal advice to ensure compliance with applicable Colombian regulations.</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The shares of Common Stock are not and will not be registered in the Colombian registry of publicly traded securities (</w:t>
      </w:r>
      <w:r>
        <w:rPr>
          <w:rFonts w:ascii="Times New Roman" w:cs="Times New Roman" w:eastAsia="Times New Roman" w:hAnsi="Times New Roman"/>
          <w:sz w:val="21"/>
          <w:szCs w:val="21"/>
          <w:i w:val="1"/>
          <w:iCs w:val="1"/>
          <w:color w:val="auto"/>
        </w:rPr>
        <w:t>Registro Vacional de Valores y Emisores</w:t>
      </w:r>
      <w:r>
        <w:rPr>
          <w:rFonts w:ascii="Times New Roman" w:cs="Times New Roman" w:eastAsia="Times New Roman" w:hAnsi="Times New Roman"/>
          <w:sz w:val="21"/>
          <w:szCs w:val="21"/>
          <w:color w:val="auto"/>
        </w:rPr>
        <w:t>) and therefore the shares of Common Stock may not be offered to the public in Colombia. Nothing in this document should be construed as the making of a public offer of securities in Colombia.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CZECH REPUBLIC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Authorization for Plan Participation</w:t>
      </w:r>
      <w:r>
        <w:rPr>
          <w:rFonts w:ascii="Times New Roman" w:cs="Times New Roman" w:eastAsia="Times New Roman" w:hAnsi="Times New Roman"/>
          <w:sz w:val="22"/>
          <w:szCs w:val="22"/>
          <w:color w:val="auto"/>
        </w:rPr>
        <w:t>. I hereby authorize the percentage of my Compensation (from 0% to 15%) indicated on the Company’s online enrollment tool to be deducted during each pay period during the Offering Period in accordance with the Plan. Upon request of the Company or the Employer, I agree to execute a payroll deduction consent form or any other agreements or consents that may be required by the Employer or the Company in connection with this authorization, either now or in the future. I understand I will not be able to participate in the Plan if I fail to execute any such consent or agreement.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Proceeds from the sale of shares of Common Stock and any dividends paid on such shares of Common Stock may be held in a cash account abroad. I am no longer required to report the opening and maintenance of a foreign account to the Czech National Bank (the “CNB”), unless I am notified by the CNB that such reporting is required. Upon request of the CNB, I may need to file a notification within fifteen (15) days of the end of the calendar quarter in which I purchase shares of Common Stock.</w:t>
      </w:r>
    </w:p>
    <w:p>
      <w:pPr>
        <w:sectPr>
          <w:pgSz w:w="11900" w:h="16838" w:orient="portrait"/>
          <w:cols w:equalWidth="0" w:num="1">
            <w:col w:w="11420"/>
          </w:cols>
          <w:pgMar w:left="240" w:top="369"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t>DENMARK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Danish Stock Option Act</w:t>
      </w:r>
      <w:r>
        <w:rPr>
          <w:rFonts w:ascii="Times New Roman" w:cs="Times New Roman" w:eastAsia="Times New Roman" w:hAnsi="Times New Roman"/>
          <w:sz w:val="21"/>
          <w:szCs w:val="21"/>
          <w:color w:val="auto"/>
        </w:rPr>
        <w:t>. By participating in the Plan, I acknowledge that I received an Employer Statement translated into Danish, which is being provided to comply with the Danish Stock Option Act. To the extent more favorable and required to comply with the Stock Option Act, I understand the terms set forth in the Employer Statement will apply to my participation in the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FINLAND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completing the enrollment process and submitting the Subscription Agreement, I confirm that I have read and understood the documents relating to the rights to purchase shares of Common Stock (the Plan, the Subscription Agreement, Appendix A to the Subscription Agreement and this Appendix B) which were provided to me in the English language. I accept the terms of these documents accordingly.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Consentement Relatif à la Langue Utilisée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En complétant et renvoyant le présent Contrat de Souscription, je confirme avoir lu et compris les documents relatifs aux droits d’acquisition d’Actions Ordinaires qui m’ont été remis en langue anglaise (le Plan, le Contrat de Souscription, Annexe A du Contrat de Souscription, Annexe B). J’accepte les conditions afférentes à ces documents en connaissance de cause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Payroll Deductions</w:t>
      </w:r>
      <w:r>
        <w:rPr>
          <w:rFonts w:ascii="Times New Roman" w:cs="Times New Roman" w:eastAsia="Times New Roman" w:hAnsi="Times New Roman"/>
          <w:sz w:val="22"/>
          <w:szCs w:val="22"/>
          <w:color w:val="auto"/>
        </w:rPr>
        <w:t>. Section 2 of the Subscription Agreement has been translated into French in order to expressly authorize the payroll deductions under the Plan.</w:t>
      </w:r>
    </w:p>
    <w:p>
      <w:pPr>
        <w:spacing w:after="0" w:line="37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i w:val="1"/>
          <w:iCs w:val="1"/>
          <w:color w:val="auto"/>
        </w:rPr>
        <w:t>La Section 2 du Contrat de Souscription a été traduite ci-dessous en français afin que vous puissiez autoriser de manière expresse les prélèvements sur votre Rémunération dans le cadre du Plan d’Achat d’Actions.</w:t>
      </w:r>
    </w:p>
    <w:p>
      <w:pPr>
        <w:spacing w:after="0" w:line="167" w:lineRule="exact"/>
        <w:rPr>
          <w:sz w:val="20"/>
          <w:szCs w:val="20"/>
          <w:color w:val="auto"/>
        </w:rPr>
      </w:pPr>
    </w:p>
    <w:p>
      <w:pPr>
        <w:jc w:val="both"/>
        <w:ind w:left="660" w:hanging="328"/>
        <w:spacing w:after="0" w:line="315" w:lineRule="auto"/>
        <w:tabs>
          <w:tab w:leader="none" w:pos="6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hereby authorize the percentage of my Compensation (from 0 to 15%) indicated on the Company’s online enrollment tool to be deducted during each pay period during the Offering Period in accordance with the Plan. Such deductions are to continue for succeeding Offering Periods until I give written instructions for a change in or termination of such deductions.</w:t>
      </w:r>
    </w:p>
    <w:p>
      <w:pPr>
        <w:spacing w:after="0" w:line="152" w:lineRule="exact"/>
        <w:rPr>
          <w:rFonts w:ascii="Times New Roman" w:cs="Times New Roman" w:eastAsia="Times New Roman" w:hAnsi="Times New Roman"/>
          <w:sz w:val="21"/>
          <w:szCs w:val="21"/>
          <w:color w:val="auto"/>
        </w:rPr>
      </w:pPr>
    </w:p>
    <w:p>
      <w:pPr>
        <w:jc w:val="both"/>
        <w:ind w:left="660" w:hanging="328"/>
        <w:spacing w:after="0" w:line="297" w:lineRule="auto"/>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 la présente, j’autorise que soit prélevé le pourcentage de ma Rémunération (de 0 % à 15 %) indiqué sur l'outil en ligne d'inscription de la Société de chaque salaire versé au cours de la Période d’Offre conformément au Plan d’Achat d’Actions. De tels prélèvements se</w:t>
      </w:r>
    </w:p>
    <w:p>
      <w:pPr>
        <w:sectPr>
          <w:pgSz w:w="11900" w:h="16838" w:orient="portrait"/>
          <w:cols w:equalWidth="0" w:num="1">
            <w:col w:w="11420"/>
          </w:cols>
          <w:pgMar w:left="240" w:top="1269" w:right="239" w:bottom="1440" w:gutter="0" w:footer="0" w:header="0"/>
        </w:sectPr>
      </w:pPr>
    </w:p>
    <w:bookmarkStart w:id="146" w:name="page147"/>
    <w:bookmarkEnd w:id="146"/>
    <w:p>
      <w:pPr>
        <w:ind w:left="660" w:right="20"/>
        <w:spacing w:after="0" w:line="313" w:lineRule="auto"/>
        <w:rPr>
          <w:sz w:val="20"/>
          <w:szCs w:val="20"/>
          <w:color w:val="auto"/>
        </w:rPr>
      </w:pPr>
      <w:r>
        <w:rPr>
          <w:rFonts w:ascii="Times New Roman" w:cs="Times New Roman" w:eastAsia="Times New Roman" w:hAnsi="Times New Roman"/>
          <w:sz w:val="22"/>
          <w:szCs w:val="22"/>
          <w:i w:val="1"/>
          <w:iCs w:val="1"/>
          <w:color w:val="auto"/>
        </w:rPr>
        <w:t>poursuivront pour les Périodes d’Offre suivantes jusqu'à ce que je donne des instructions écrites afin de changer ou de cesser de tels prélèvements.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of Common Stock or the receipt of dividends), the report must be made by the 5th day of the month following the month in which the payment is received. Effective from September 2013, the report must be filed electronically. The form of report (“</w:t>
      </w:r>
      <w:r>
        <w:rPr>
          <w:rFonts w:ascii="Times New Roman" w:cs="Times New Roman" w:eastAsia="Times New Roman" w:hAnsi="Times New Roman"/>
          <w:sz w:val="22"/>
          <w:szCs w:val="22"/>
          <w:i w:val="1"/>
          <w:iCs w:val="1"/>
          <w:color w:val="auto"/>
        </w:rPr>
        <w:t>Allgemeine Meldeportal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Statistik</w:t>
      </w:r>
      <w:r>
        <w:rPr>
          <w:rFonts w:ascii="Times New Roman" w:cs="Times New Roman" w:eastAsia="Times New Roman" w:hAnsi="Times New Roman"/>
          <w:sz w:val="22"/>
          <w:szCs w:val="22"/>
          <w:color w:val="auto"/>
        </w:rPr>
        <w:t>”) can be accessed via the Bundesbank’s website (www.bundesbank.de) and is available in both German and English.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understand I am responsible for complying with applicable reporting requirements.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GREECE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Contributions to the Plan</w:t>
      </w:r>
      <w:r>
        <w:rPr>
          <w:rFonts w:ascii="Times New Roman" w:cs="Times New Roman" w:eastAsia="Times New Roman" w:hAnsi="Times New Roman"/>
          <w:sz w:val="22"/>
          <w:szCs w:val="22"/>
          <w:color w:val="auto"/>
        </w:rPr>
        <w:t>. Notwithstanding anything to the contrary in the Subscription Agreement, due to legal restrictions in Hong Kong, I understand I may be required to make contributions to the Plan via check, wire transfer or bank debit (rather than through payroll deductions). I am solely responsible for ensuring remittance of such contributions to the Company in accordance with the policies and procedures established by the Company and/or the Employer to facilitate my participation in the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u w:val="single" w:color="auto"/>
          <w:color w:val="auto"/>
        </w:rPr>
        <w:t>Nature of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 understand the Plan is a voluntary plan, and I acknowledge any contributions I elect to make under the Plan are made by me on an entirely voluntary basis. I understand I may withdraw freely from participation in the Plan and receive a full refund of all voluntary contributions I have made under the Plan that have not been applied towards the purchase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u w:val="single" w:color="auto"/>
          <w:color w:val="auto"/>
        </w:rPr>
        <w:t>Securities Law Notification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WARNING: The contents of the Plan, the Subscription Agreement, Appendix A and this Appendix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have not been reviewed by any regulatory authority in Hong Kong. I am advised to exercise caution in relation to the options granted under the Plan. If I am in any doubt about any of the contents of the Plan, the Subscription Agreement, Appendix A or this Appendix B, I should obtain independent professional advice.</w:t>
      </w:r>
    </w:p>
    <w:p>
      <w:pPr>
        <w:sectPr>
          <w:pgSz w:w="11900" w:h="16838" w:orient="portrait"/>
          <w:cols w:equalWidth="0" w:num="1">
            <w:col w:w="11420"/>
          </w:cols>
          <w:pgMar w:left="240" w:top="378" w:right="239" w:bottom="144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The options granted under the Plan and any shares of Common Stock issued upon exercise of such options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The Subscription Agreement, Appendix A and this Appendix B and the information contained herein may not be used other than by me and may not be reproduced in any form or transferred to any person in Hong Kong. This option grant under the Plan is not an offer for sale to the public in Hong Kong and it is not the intention of the Company that the option grant or the shares of Common Stock be offered for sale to the public in Hong Kong.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HUNGARY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Authorization for Plan Participation</w:t>
      </w:r>
      <w:r>
        <w:rPr>
          <w:rFonts w:ascii="Times New Roman" w:cs="Times New Roman" w:eastAsia="Times New Roman" w:hAnsi="Times New Roman"/>
          <w:sz w:val="22"/>
          <w:szCs w:val="22"/>
          <w:color w:val="auto"/>
        </w:rPr>
        <w:t>. By electing to participate in the Plan, I hereby authorize the percentage of my Compensation (from 0% to 15%) indicated on the Company’s online enrollment tool to be deducted from each paycheck during the Offering Period in accordance with the Plan. I acknowledge that my election to participate in the Plan is voluntary and that I may freely withdraw from participation in the Plan and thereby receive a full refund of all voluntary contributions that I have made under the Plan that have not been applied towards the purchase of shares of Common Stock. As further evidence of such authorization, I agree to provide a Plan participation consent form to my Employer, or any other agreements or consents as may be required by my Employer, or by the Company, in the future.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Indian residents must repatriate any proceeds from the sale of shares of Common Stock acquired under the Plan and any cash dividends to India and convert the proceeds into local currency within a reasonable time after receipt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90 days from the sale of shares of Common Stock and 180 days from receipt of dividends). Upon repatriation, I understand I will receive a foreign inward remittance certificate (“FIRC”) from the bank where I deposit the foreign currency and I should retain the FIRC as evidence of the repatriation of funds in the event the Reserve Bank of India or the Employer requests proof of repatriation. I understand it is my responsibility to comply with applicable exchange control laws in India.</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INDONESIA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I remit proceeds from the sale of shares of Common Stock into Indonesia, the Indonesian Bank through which the transaction is made will submit a report on the transaction to the Bank of Indonesia for statistical reporting purposes. For transactions of US</w:t>
      </w:r>
    </w:p>
    <w:p>
      <w:pPr>
        <w:sectPr>
          <w:pgSz w:w="11900" w:h="16838" w:orient="portrait"/>
          <w:cols w:equalWidth="0" w:num="1">
            <w:col w:w="11420"/>
          </w:cols>
          <w:pgMar w:left="240" w:top="364" w:right="239" w:bottom="1440" w:gutter="0" w:footer="0" w:header="0"/>
        </w:sectPr>
      </w:pPr>
    </w:p>
    <w:bookmarkStart w:id="148" w:name="page149"/>
    <w:bookmarkEnd w:id="148"/>
    <w:p>
      <w:pPr>
        <w:jc w:val="both"/>
        <w:spacing w:after="0" w:line="257" w:lineRule="auto"/>
        <w:rPr>
          <w:sz w:val="20"/>
          <w:szCs w:val="20"/>
          <w:color w:val="auto"/>
        </w:rPr>
      </w:pPr>
      <w:r>
        <w:rPr>
          <w:rFonts w:ascii="Times New Roman" w:cs="Times New Roman" w:eastAsia="Times New Roman" w:hAnsi="Times New Roman"/>
          <w:sz w:val="22"/>
          <w:szCs w:val="22"/>
          <w:color w:val="auto"/>
        </w:rPr>
        <w:t>$10,000 or more, a description of the transaction must be included in the report. Although the bank through which the transaction is made is required to make the report, Indonesian residents must complete a “Transfer Report Form.” The Transfer Report Form will be provided to me by the bank through which the transaction is made.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provisions apply to Participants who are in Israel on the Enrollment Date.</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Grant Subject to Terms and Conditions of Israel Sub-Plan</w:t>
      </w:r>
      <w:r>
        <w:rPr>
          <w:rFonts w:ascii="Times New Roman" w:cs="Times New Roman" w:eastAsia="Times New Roman" w:hAnsi="Times New Roman"/>
          <w:sz w:val="22"/>
          <w:szCs w:val="22"/>
          <w:color w:val="auto"/>
        </w:rPr>
        <w:t>. By enrolling in the Plan, I acknowledge that the options granted and the exercise of options are subject to, and in accordance with, the terms of the Plan and its Israeli subplan (the “Israeli Sub-Plan”). As such, the shares of Common Stock issued to me under the Plan are intended to qualify for specific tax treatment in Israel under Section 102 (together with its subsections and any similar successor provisions, “Section 102”) of the Israeli Income Tax Ordinance [New Version] 1961, as now in effect or as hereafter amended ( the “ITO”). Certain events may affect the status of the options as qualified under Section 102 and the options may be disqualified in the future. The Company does not make any undertaking or representation to maintain the qualified status of the options under the Plan.</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options, the shares of Common Stock and any rights issued pursuant to the options and shares of Common Stock (other than cash dividends) shall be controlled by ESOP Management and Trust Services Ltd. or another trustee selected by the Company (the “Trustee”) for my benefit for at least such period of time as required by Section 102 or by the Israeli Tax Authority (the “Holding Period”).</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enrolling in the Plan and accepting the options offered under the Plan, I agree to be bound by Section 102, the terms of the Plan, the Israeli Sub-Plan, this Subscription Agreement, the trust and services agreement (the “Trust Agreement”) with the Trustee, and, upon request of the Company or the Employer, I further agree to provide written consent to the terms of any tax ruling or agreement obtained by the Company or the Employer with regard to the Plan and the Israel Sub-Plan (“Tax Ruling”).</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acknowledge that until further election by the Company, the options granted under the Plan and any shares of Common Stock received upon exercise of the options are intended to qualify for the tax treatment available in Israel pursuant to the provisions of the “capital gain trustee track” under Section 102, including the provisions of the Income Tax Rules (Tax Benefits in Shares Issuance to Employees), 2003 and any Tax Ruling.</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further acknowledge the options granted under the Plan are subject to the trust (“Trust”) established by the Trust Agreement with the Trustee. To receive the tax treatment provided for in Sections 102(b)(2) and 102(b)(3) of the ITO or successor statute, the options will be “deposited” (as defined by</w:t>
      </w:r>
    </w:p>
    <w:p>
      <w:pPr>
        <w:sectPr>
          <w:pgSz w:w="11900" w:h="16838" w:orient="portrait"/>
          <w:cols w:equalWidth="0" w:num="1">
            <w:col w:w="11420"/>
          </w:cols>
          <w:pgMar w:left="240" w:top="369" w:right="239" w:bottom="1440" w:gutter="0" w:footer="0" w:header="0"/>
        </w:sectPr>
      </w:pPr>
    </w:p>
    <w:bookmarkStart w:id="149" w:name="page150"/>
    <w:bookmarkEnd w:id="149"/>
    <w:p>
      <w:pPr>
        <w:jc w:val="both"/>
        <w:spacing w:after="0" w:line="260" w:lineRule="auto"/>
        <w:rPr>
          <w:sz w:val="20"/>
          <w:szCs w:val="20"/>
          <w:color w:val="auto"/>
        </w:rPr>
      </w:pPr>
      <w:r>
        <w:rPr>
          <w:rFonts w:ascii="Times New Roman" w:cs="Times New Roman" w:eastAsia="Times New Roman" w:hAnsi="Times New Roman"/>
          <w:sz w:val="21"/>
          <w:szCs w:val="21"/>
          <w:color w:val="auto"/>
        </w:rPr>
        <w:t>the ITO) with the Trustee on my behalf during the Holding Period, which, until further election by the Company, shall be twenty-four (24) months from the Exercise Date, or any other period determined under the ITO as now in effect or as hereafter amended or by the Israeli Income Tax Authority. Subject to the expiration of the Holding Period and any further period included herein, I agree that shares of Common Stock acquired upon exercise of the options will be under the supervision of the Trustee until the earlier of</w:t>
      </w:r>
    </w:p>
    <w:p>
      <w:pPr>
        <w:spacing w:after="0" w:line="4" w:lineRule="exact"/>
        <w:rPr>
          <w:sz w:val="20"/>
          <w:szCs w:val="20"/>
          <w:color w:val="auto"/>
        </w:rPr>
      </w:pPr>
    </w:p>
    <w:p>
      <w:pPr>
        <w:jc w:val="both"/>
        <w:ind w:firstLine="8"/>
        <w:spacing w:after="0" w:line="244" w:lineRule="auto"/>
        <w:tabs>
          <w:tab w:leader="none" w:pos="31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Trustee of an acknowledgment from the Israeli Income Tax Authority that I have paid all applicable Tax-Related Items due pursuant to the ITO and Section 102, or (b) the Trustee withholds any applicable Tax-Related Items due pursuant to the ITO and Section 102. Notwithstanding the foregoing, in the event I shall elect to release any shares of Common Stock acquired upon exercise of the options prior to the conclusion of the Holding Period, the tax consequences under Section 102 shall apply to and shall be borne solely by me.</w:t>
      </w: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may in its sole discretion replace the Trustee from time to time and instruct the transfer of all options and shares of Common Stock held or administered by such Trustee at such time to its successor and the provisions of this Subscription Agreement shall apply to the new Trustee.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provisions apply to Participants who permanently transfer to Israel after the Enrollment Date.</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Mandatory Sale Restriction</w:t>
      </w:r>
      <w:r>
        <w:rPr>
          <w:rFonts w:ascii="Times New Roman" w:cs="Times New Roman" w:eastAsia="Times New Roman" w:hAnsi="Times New Roman"/>
          <w:sz w:val="22"/>
          <w:szCs w:val="22"/>
          <w:color w:val="auto"/>
        </w:rPr>
        <w:t>. To facilitate compliance with local tax requirements, I agree to the sale of any shares of Common Stock to be issued to me upon purchase. The sale will occur (i) immediately upon purchase, (ii) following my termination of employment, or (iii) within any other time frame as the Company determines to be necessary to comply with local tax requirements. I further agree the Company is authorized to instruct its designated broker to assist with the mandatory sale of such shares of Common Stock (on my behalf pursuant to this authorization) and I expressly authorize the Company’s designated broker to complete the sale of such shares of Common Stock. I acknowledge the Company’s designated broker is under no obligation to arrange for the sale of the shares of Common Stock at any particular price. Upon the sale of the shares of Common Stock, the Company agrees to pay me the cash proceeds from the sale, less any brokerage fees or commissions and subject to any obligation to satisfy Tax-Related Items.</w:t>
      </w:r>
    </w:p>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 further agree any shares of Common Stock to be issued to me shall be deposited directly into an account with the Company’s designated broker. The deposited shares of Common Stock shall not be transferable (either electronically or in certificate form) from the brokerage account. This limitation shall apply both to transfers to different accounts with the same broker and to transfers to other brokerage firms. The limitation shall apply to all shares of Common Stock issued to me under the Plan, whether or not I continue to be employed by the Company or any parent, Subsidiary or Affiliate.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ectPr>
          <w:pgSz w:w="11900" w:h="16838" w:orient="portrait"/>
          <w:cols w:equalWidth="0" w:num="1">
            <w:col w:w="11420"/>
          </w:cols>
          <w:pgMar w:left="240" w:top="369"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supplements Section 5 of Appendix A to the Subscription Agreement: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I understand the Company may hold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under the Plan or other entitlement to shares of Common Stock granted, canceled, exercised, vested, unvested or outstanding in my favor (“Data”), for the exclusive purpose of implementing, managing and administering the Plan.</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I also understand that providing the Company with Data is necessary for the performance of the Plan and that my refusal to provide such Data would make it impossible for the Company to perform its contractual obligations and may affect my ability to participate in the Plan. The Controller of personal data processing is Autodesk, Inc., with registered offices at 111 McInnis Parkway, San Rafael, CA 94903, USA, and, pursuant to Legislative Decree no. 196/2003, its representative is the Employer in Italy.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I understand that my Data will not be publicized, but it may be transferred to banks, other financial institutions or brokers involved in the management and administration of the Plan. I further understand that the Company and any Parent or Subsidiary will transfer Data amongst themselves as necessary for the purpose of implementation, administration and management of my participation in the Plan, and that the Company and any Parent or Subsidiary may each further transfer Data to third parties assisting the Company in the implementation, administration and management of the Plan, including any requisite transfer to a broker or another third party with whom I may elect to deposit any shares of Common Stock acquired under the Plan. Such recipients may receive, possess, use, retain and transfer the Data in electronic or other form, for the purposes of implementing, administering and managing my participation in the Plan. I understand that these recipients may be located in the European Economic Area, or elsewhere, such as the US. Should the Company exercise its discretion in suspending all necessary legal obligations connected with the management and administration of the Plan, it will delete Data as soon as it has accomplished all the necessary legal obligations connected with the management and administration of the Plan.</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b w:val="1"/>
          <w:bCs w:val="1"/>
          <w:i w:val="1"/>
          <w:iCs w:val="1"/>
          <w:color w:val="auto"/>
        </w:rPr>
        <w:t>I understand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the European Economic Area, as herein specified and pursuant to applicable laws and regulations, does not require my consent thereto as the processing is necessary to performance of contractual obligations related to implementation, administration and management of the Plan. I understand that, pursuant to Section 7 of the Legislative Decree no. 196/2003, I have the right to, including but not limited to, access, delete, update, correct or terminate, for legitimate reason, the Data processing. Furthermore, I am aware that Data will not be used for direct</w:t>
      </w:r>
    </w:p>
    <w:p>
      <w:pPr>
        <w:sectPr>
          <w:pgSz w:w="11900" w:h="16838" w:orient="portrait"/>
          <w:cols w:equalWidth="0" w:num="1">
            <w:col w:w="11420"/>
          </w:cols>
          <w:pgMar w:left="240" w:top="585" w:right="239" w:bottom="1440" w:gutter="0" w:footer="0" w:header="0"/>
        </w:sectPr>
      </w:pPr>
    </w:p>
    <w:bookmarkStart w:id="151" w:name="page152"/>
    <w:bookmarkEnd w:id="151"/>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marketing purposes. In addition, Data provided can be reviewed and questions or complaints can be addressed by contacting my local human resources representative.</w:t>
      </w: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Plan Document Acknowledgement</w:t>
      </w:r>
      <w:r>
        <w:rPr>
          <w:rFonts w:ascii="Times New Roman" w:cs="Times New Roman" w:eastAsia="Times New Roman" w:hAnsi="Times New Roman"/>
          <w:sz w:val="21"/>
          <w:szCs w:val="21"/>
          <w:color w:val="auto"/>
        </w:rPr>
        <w:t>. In participating in the Plan, I acknowledge I have received a copy of the Plan and the Subscription Agreement and have reviewed the Plan and the Subscription Agreement, including Appendix A and this Appendix B, in their entirety and fully understand and accept all provisions of the Plan and the Subscription Agreement, including Appendix A and this Appendix B. I further acknowledge that I have read and specifically and expressly approve the Sections of the Appendix A to the Subscription Agreement addressing (i) Tax Obligations (Section 3 of Appendix A), (ii) the Nature of the Grant (Section 4 of Appendix A), (iii) Governing Law and Venue (Section 7 of the Subscription Agreement), (iv) Imposition of Other Requirements (Section 11 of the Appendix A), and (vi) the Data Privacy Acknowledgement, set forth above in this Appendix B.</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terms.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Exchange control laws require Korean residents who realize US$500,000 or more from the sale of shares of Common Stock in a single transaction to repatriate the proceeds to Korea within three years of the sale.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ectPr>
          <w:pgSz w:w="11900" w:h="16838" w:orient="portrait"/>
          <w:cols w:equalWidth="0" w:num="1">
            <w:col w:w="11420"/>
          </w:cols>
          <w:pgMar w:left="240" w:top="362" w:right="239" w:bottom="1440" w:gutter="0" w:footer="0" w:header="0"/>
        </w:sectPr>
      </w:pPr>
    </w:p>
    <w:p>
      <w:pPr>
        <w:spacing w:after="0" w:line="172" w:lineRule="exact"/>
        <w:rPr>
          <w:sz w:val="20"/>
          <w:szCs w:val="20"/>
          <w:color w:val="auto"/>
        </w:rPr>
      </w:pPr>
    </w:p>
    <w:p>
      <w:pPr>
        <w:ind w:left="40"/>
        <w:spacing w:after="0" w:line="271" w:lineRule="auto"/>
        <w:rPr>
          <w:sz w:val="20"/>
          <w:szCs w:val="20"/>
          <w:color w:val="auto"/>
        </w:rPr>
      </w:pPr>
      <w:r>
        <w:rPr>
          <w:rFonts w:ascii="Times New Roman" w:cs="Times New Roman" w:eastAsia="Times New Roman" w:hAnsi="Times New Roman"/>
          <w:sz w:val="16"/>
          <w:szCs w:val="16"/>
          <w:color w:val="auto"/>
        </w:rPr>
        <w:t>I hereby explicitly, voluntarily and unambiguously consent to the collection, use and transfer, in electronic or other form, of my personal data as described in the Subscription Agreement and any other Plan grant materials by and among, as applicable, the Employer, the Company and any other parent, Subsidiary or Affiliate or any third parties authorized by the same in assisting in the implementation, administration and management of my participation in the Plan.</w:t>
      </w:r>
    </w:p>
    <w:p>
      <w:pPr>
        <w:spacing w:after="0" w:line="226" w:lineRule="exact"/>
        <w:rPr>
          <w:sz w:val="20"/>
          <w:szCs w:val="20"/>
          <w:color w:val="auto"/>
        </w:rPr>
      </w:pPr>
    </w:p>
    <w:p>
      <w:pPr>
        <w:ind w:left="40" w:right="120"/>
        <w:spacing w:after="0" w:line="268" w:lineRule="auto"/>
        <w:rPr>
          <w:sz w:val="20"/>
          <w:szCs w:val="20"/>
          <w:color w:val="auto"/>
        </w:rPr>
      </w:pPr>
      <w:r>
        <w:rPr>
          <w:rFonts w:ascii="Times New Roman" w:cs="Times New Roman" w:eastAsia="Times New Roman" w:hAnsi="Times New Roman"/>
          <w:sz w:val="16"/>
          <w:szCs w:val="16"/>
          <w:color w:val="auto"/>
        </w:rPr>
        <w:t>I may have previously provided the Company and the Employer with, and the Company and the Employer may hold, certain personal information about me, including, but not limited to, my name, home address and telephone number, date of birth, social insurance number or other identification number, salary, nationality, job title, any shares of Common Stock or directorships held in the Company, the fact and conditions of my participation in the Plan, details of all options or any other entitlement to shares of Common Stock awarded, cancelled, exercised, vested, unvested or outstanding in my favor (“Data”), for the exclusive purpose of implementing, administering and managing the Plan.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Saya dengan ini secara eksplicit, secara sukarela dan tanpa sebarang keraguan mengizinkan pengumpulan, penggunaan dan pemindahan, dalam bentuk elektronik atau lain-lain, data peribadi saya seperti yang dinyatakan dalam Perjanjian Langganan dan apa-apa bahan geran Pelan oleh dan di antara Majikan, Syarikat dan mana-mana Syarikat Induk, Anak Syarikat atau Syarikat Sekutu kami atau mana-mana pihak ketiga yang diberi kuasa oleh yang sama untuk membantu dalam pelaksanaan, pentadbiran dan pengurusan penyertaan saya dalam Pelan.</w:t>
      </w:r>
    </w:p>
    <w:p>
      <w:pPr>
        <w:spacing w:after="0" w:line="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Sebelum ini, saya mungkin telah membekalkan Syarikat dan Majikan dengan, dan Syarikat dan Majikan mungkin memegang, maklumat peribadi tertentu tentang saya, termasuk, tetapi tidak terhad kepada, nama saya, alamat rumah dan nombor telefon, tarikh lahir, nombor insurans sosial atau nombor pengenalan lain, gaji, kewarganegaraan, jawatan, apa-apa Saham Biasa atau jawatan pengarah yang dipegang dalam Syarikat, fakta dan syarat-syarat penyertaan saya dalam Pelan, butir-butir semua opsyen atau apa-apa hak lain untuk Saham Biasa yang dianugerahkan, dibatalkan, dilaksanakan, terletak hak, tidak diletak hak ataupun bagi faedah saya (“Data”), untuk tujuan yang eksklusif bagi melaksanakan, mentadbir dan menguruskan Pelan.</w:t>
      </w:r>
    </w:p>
    <w:p>
      <w:pPr>
        <w:sectPr>
          <w:pgSz w:w="11900" w:h="16838" w:orient="portrait"/>
          <w:cols w:equalWidth="0" w:num="2">
            <w:col w:w="5680" w:space="60"/>
            <w:col w:w="5680"/>
          </w:cols>
          <w:pgMar w:left="240" w:top="362" w:right="239" w:bottom="1440" w:gutter="0" w:footer="0" w:header="0"/>
          <w:type w:val="continuous"/>
        </w:sectPr>
      </w:pPr>
    </w:p>
    <w:bookmarkStart w:id="152" w:name="page153"/>
    <w:bookmarkEnd w:id="152"/>
    <w:p>
      <w:pPr>
        <w:ind w:left="40" w:right="40"/>
        <w:spacing w:after="0" w:line="272" w:lineRule="auto"/>
        <w:rPr>
          <w:sz w:val="20"/>
          <w:szCs w:val="20"/>
          <w:color w:val="auto"/>
        </w:rPr>
      </w:pPr>
      <w:r>
        <w:rPr>
          <w:rFonts w:ascii="Times New Roman" w:cs="Times New Roman" w:eastAsia="Times New Roman" w:hAnsi="Times New Roman"/>
          <w:sz w:val="16"/>
          <w:szCs w:val="16"/>
          <w:color w:val="auto"/>
        </w:rPr>
        <w:t>I also authorize any transfer of Data, as may be required, to such stock plan service provider as may be designated by the Company in the future, which is assisting the Company with the implementation, administration and management of the Plan and/or with whom any shares acquired upon exercise of the options are deposited (the “Designated Broker”).</w:t>
      </w:r>
    </w:p>
    <w:p>
      <w:pPr>
        <w:spacing w:after="0" w:line="227"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6"/>
          <w:szCs w:val="16"/>
          <w:color w:val="auto"/>
        </w:rPr>
        <w:t>I acknowledge that these recipients may be located in my country or elsewhere, and that the recipient’s country (e.g., the United States) may have different data privacy laws and protections to my country, which may not give the same level of protection to Data. I understand that I may request a list with the names and addresses of any potential recipients of Data by contacting my local human resources representative. I authorize the Company, the Designated Broker and any other possible recipients which may assist the Company (presently or in the future) with implementing, administering and managing my participation in the Plan to receive, possess, use, retain and transfer Data, in electronic or other form, for the sole purpose of implementing, administering and managing my participation in the Plan. I understand that Data will be held only as long as is necessary to implement, administer and manage my participation in the Plan.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whose contact details are hrgc.apac@autodesk.com.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right="20" w:firstLine="81"/>
        <w:spacing w:after="0" w:line="268" w:lineRule="auto"/>
        <w:rPr>
          <w:sz w:val="20"/>
          <w:szCs w:val="20"/>
          <w:color w:val="auto"/>
        </w:rPr>
      </w:pPr>
      <w:r>
        <w:rPr>
          <w:rFonts w:ascii="Times New Roman" w:cs="Times New Roman" w:eastAsia="Times New Roman" w:hAnsi="Times New Roman"/>
          <w:sz w:val="16"/>
          <w:szCs w:val="16"/>
          <w:color w:val="auto"/>
        </w:rPr>
        <w:t>Further, I understand that I am providing the consents herein on a purely voluntary basis. If I do not consent, or if I later seek to revoke my consent, my employment status or service and career with the Employer will not be adversely affected; the only adverse consequence of refusing or withdrawing my consent is that the Company would not be able to grant future options or other equity awards to me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Times New Roman" w:cs="Times New Roman" w:eastAsia="Times New Roman" w:hAnsi="Times New Roman"/>
          <w:sz w:val="16"/>
          <w:szCs w:val="16"/>
          <w:color w:val="auto"/>
        </w:rPr>
        <w:t>Saya juga memberi kuasa untuk membuat apa-apa pemindahan Data, sebagaimana yang diperlukan, kepada pembekal perkhidmatan pelan saham yang lain sebagaimana yang ditetapkan oleh Syarikat pada masa depan, yang membantu Syarikat dalam pelaksanaan, pentadbiran dan pengurusan Pelan dan/atau dengan sesiapa yang didepositkan dengansyer-syer yang diperolehi melalui pelaksanaan opsyen (“Broker yang Ditetapkan”).</w:t>
      </w:r>
    </w:p>
    <w:p>
      <w:pPr>
        <w:spacing w:after="0" w:line="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Saya mengakui bahawa penerima-penerima ini mungkin berada di negara saya atau di tempat lain, dan bahawa negara penerima (contohnya, Amerika Syarikat) mungkin mempunyai undang-undang privasi data dan perlindungan yang berbeza daripada negara saya, yang mungkin tidak boleh memberi tahap perlindungan yang sama kepada Data. Saya faham bahawa saya boleh meminta senarai nama dan alamat mana-mana penerima Data dengan menghubungi wakil sumber manusia tempatan saya. Saya memberi kuasa kepada Syarikat, Broker yang Ditetapkan dan mana-mana penerima lain yang mungkin membantu Syarikat (masa sekarang atau pada masa depan) untuk melaksanakan, mentadbir dan menguruskan penyertaan saya dalam Pelan untuk menerima, memiliki, menggunakan, mengekalkan dan memindahkan Data, dalam bentuk elektronik atau lain-lain, semata-mata dengan tujuan untuk melaksanakan, mentadbir dan menguruskan penyertaan saya dalam Pelan. Saya faham bahawa Data akan dipegang hanya untuk tempoh yang diperlukan untuk melaksanakan, mentadbir dan menguruskan penyertaan saya dalam ESPP. Saya faham bahawa saya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saya, di mana butir-butir hubungannya adalah hrgc.apac@autodesk.com.</w:t>
      </w:r>
    </w:p>
    <w:p>
      <w:pPr>
        <w:spacing w:after="0" w:line="29" w:lineRule="exact"/>
        <w:rPr>
          <w:sz w:val="20"/>
          <w:szCs w:val="20"/>
          <w:color w:val="auto"/>
        </w:rPr>
      </w:pPr>
    </w:p>
    <w:p>
      <w:pPr>
        <w:ind w:right="60" w:firstLine="40"/>
        <w:spacing w:after="0" w:line="267" w:lineRule="auto"/>
        <w:rPr>
          <w:sz w:val="20"/>
          <w:szCs w:val="20"/>
          <w:color w:val="auto"/>
        </w:rPr>
      </w:pPr>
      <w:r>
        <w:rPr>
          <w:rFonts w:ascii="Times New Roman" w:cs="Times New Roman" w:eastAsia="Times New Roman" w:hAnsi="Times New Roman"/>
          <w:sz w:val="16"/>
          <w:szCs w:val="16"/>
          <w:color w:val="auto"/>
        </w:rPr>
        <w:t>Selanjutnya, saya memahami bahawa saya memberikan persetujuan di sini secara sukarela. Jika saya tidak bersetuju, atau jika saya kemudian membatalkan persetujuan saya, status pekerjaan atau perkhidmatan dan kerjaya saya dengan Majikan tidak akan terjejas; satunya akibat buruk jika saya tidak bersetuju atau menarik balik persetujuan saya adalah bahawa Syarikat tidak akan dapat memberikan opsyen pada masa depan atau anugerah ekuiti lain kepada saya atau mentadbir atau mengekalkan anugerah tersebut. Oleh itu, saya faham bahawa keengganan atau penarikan balik persetujuan saya boleh menjejaskan keupayaan saya untuk mengambil bahagian dalam Pelan. Untuk maklumat lanjut mengenai akibat keengganan saya untuk memberikan keizinan atau penarikan balik keizinan, saya fahami bahawa saya boleh menghubungi wakil sumber manusia tempatan saya.</w:t>
      </w:r>
    </w:p>
    <w:p>
      <w:pPr>
        <w:spacing w:after="0" w:line="200" w:lineRule="exact"/>
        <w:rPr>
          <w:sz w:val="20"/>
          <w:szCs w:val="20"/>
          <w:color w:val="auto"/>
        </w:rPr>
      </w:pPr>
    </w:p>
    <w:p>
      <w:pPr>
        <w:sectPr>
          <w:pgSz w:w="11900" w:h="16838" w:orient="portrait"/>
          <w:cols w:equalWidth="0" w:num="2">
            <w:col w:w="5680" w:space="60"/>
            <w:col w:w="5680"/>
          </w:cols>
          <w:pgMar w:left="240" w:top="531" w:right="2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Director Notification Obligation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 acknowledge that if I am a director of a Malaysian Subsidiary, I am subject to certain notification requirements under the Malaysian Companies Act. Among these requirements is an obligation to notify the Malaysian Subsidiary in writing when I receive or dispose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options or shares of Common Stock) in the Company or any related company. Such notifications must be made within 14 days of receiving or disposing of any interest in the Company or any related company.</w:t>
      </w:r>
    </w:p>
    <w:p>
      <w:pPr>
        <w:sectPr>
          <w:pgSz w:w="11900" w:h="16838" w:orient="portrait"/>
          <w:cols w:equalWidth="0" w:num="1">
            <w:col w:w="11420"/>
          </w:cols>
          <w:pgMar w:left="240" w:top="531" w:right="239"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Authorization for Payroll Deductions</w:t>
      </w:r>
      <w:r>
        <w:rPr>
          <w:rFonts w:ascii="Times New Roman" w:cs="Times New Roman" w:eastAsia="Times New Roman" w:hAnsi="Times New Roman"/>
          <w:sz w:val="22"/>
          <w:szCs w:val="22"/>
          <w:color w:val="auto"/>
        </w:rPr>
        <w:t>. In connection with my election in the Subscription Agreement to participate in the Plan, I hereby request and authorize my employer, Autodesk de Mexico S.A. de C.V. (“Autodesk-Mexico”), to withhold during each pay period the percentage of my Compensation (from 0% to 15%) indicated on the Company’s online enrollment tool during the Offering Period in accordance with the Plan. This withholding will continue until I inform the Company to stop such payroll withholding.</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hereby further request that the accumulated payroll deductions to which the preceding paragraph refers shall be delivered by Autodesk-Mexico to the Company and shall be used by the Company or its designated Plan broker to purchase shares of Common Stock in accordance with the terms and conditions of the Plan and the Subscription Agreement.</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 acknowledge and agree the participation of Autodesk-Mexico in the Plan is limited to acting as an intermediary in delivering to the Company the amounts withheld from my paycheck each pay period and that the benefits under the Plan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fringe benefits provided by Autodesk-Mexico. Autodesk-Mexico will make no additional salary payment or other compensation to me as a result of the Plan. I further acknowledge that the withholding I have requested is not a loss of salary and that I have received in full my entire salary for each pay period during my participation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No Entitlement or Claims for Compensation</w:t>
      </w:r>
      <w:r>
        <w:rPr>
          <w:rFonts w:ascii="Times New Roman" w:cs="Times New Roman" w:eastAsia="Times New Roman" w:hAnsi="Times New Roman"/>
          <w:sz w:val="21"/>
          <w:szCs w:val="21"/>
          <w:color w:val="auto"/>
        </w:rPr>
        <w:t>. This provision supplements Section 4 of Appendix A to the Subscription Agreement:</w:t>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options, I understand and agree that: (i) the right to purchase shares of Common Stock in the Plan is not related to the salary (except to the extent I choose to contribute amounts from my Compensation to the Plan) and other contractual benefits granted to me by Autodesk-Mexico; (ii) any modification of the Plan or its termination shall not constitute a change or impairment of the terms and conditions of my employment; and (iii) any benefit derived under the Plan is not a fringe benefit.</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Policy Statement</w:t>
      </w:r>
      <w:r>
        <w:rPr>
          <w:rFonts w:ascii="Times New Roman" w:cs="Times New Roman" w:eastAsia="Times New Roman" w:hAnsi="Times New Roman"/>
          <w:sz w:val="22"/>
          <w:szCs w:val="22"/>
          <w:color w:val="auto"/>
        </w:rPr>
        <w:t>. The invitation the Company is making under the Plan is unilateral and discretionary and, therefore, the Company reserves the absolute right to amend it and discontinue it at any time without any liability.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with registered offices at 111 McInnis Parkway, San Rafael, CA 94903 USA., is solely responsible for the administration of the Plan and participation in the Plan and the acquisition of shares of Common Stock does not, in any way, establish an employment relationship between myself and the Company since I am participating in the Plan on a wholly commercial basis and my sole employer is Autodesk-Mexico, nor does it establish any rights between myself and Autodesk-Mexico.</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terms of the Subscription Agreement, I acknowledge I have received a copy of the Plan, have reviewed the Plan and the Subscription</w:t>
      </w:r>
    </w:p>
    <w:p>
      <w:pPr>
        <w:sectPr>
          <w:pgSz w:w="11900" w:h="16838" w:orient="portrait"/>
          <w:cols w:equalWidth="0" w:num="1">
            <w:col w:w="11420"/>
          </w:cols>
          <w:pgMar w:left="240" w:top="581"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Agreement in their entirety and fully understand and accept all provisions of the Plan and the Subscription Agreement.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addition, by accepting the terms of the Subscription Agreement, I further acknowledge I have read and specifically and expressly approve the terms and conditions in Section 4 of Appendix A to the Subscription Agreement, in which the following is clearly described and established: (i) participation in the Plan does not constitute an acquired right; (ii) the Plan and participation in the Plan is offered by the Company on a wholly discretionary basis; (iii) participation in the Plan is voluntary; and (iv) the Company and its parents, Subsidiaries and Affiliates are not responsible for any decrease in the value of the shares of Common Stock that I may acquire under the Plan.</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Finally, I hereby declare that I do not reserve any action or right to bring any claim against the Company for any compensation or damages as a result of my termination of employment and withdrawal from the Plan and therefore I grant a full and broad release to Autodesk-Mexico, the Company and any other Parent, Subsidiary or Affiliate with respect to any claim that may arise under the Plan in this respect.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u w:val="single" w:color="auto"/>
          <w:color w:val="auto"/>
        </w:rPr>
        <w:t>Autorización para Deducciones al Salario</w:t>
      </w:r>
      <w:r>
        <w:rPr>
          <w:rFonts w:ascii="Times New Roman" w:cs="Times New Roman" w:eastAsia="Times New Roman" w:hAnsi="Times New Roman"/>
          <w:sz w:val="22"/>
          <w:szCs w:val="22"/>
          <w:i w:val="1"/>
          <w:iCs w:val="1"/>
          <w:color w:val="auto"/>
        </w:rPr>
        <w:t>: En relación con mi elección en el Convenio de Subscripción para participar en el Plan, en este acto solicito y autorizo a mi patrón Autodesk de México S.A. de C.V. (“Patrón”) para que descuente de mi salario, en cada periodo de pago, el porcentaje de mi Compensación (de 0% a 15%) indicado en el sitio de registro por internet de la empresa durante el periodo de oferta especificado en el Plan. Esta deducción continuará hasta que se le informe a la Empresa que cese dicha deducción.</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De la misma manera, solicito que la cantidad de las deducciones acumuladas a que se refiere el párrafo anterior, serán entregadas por mi Patrón a la Compañía para que sea utilizado por la Compañía o al corredor del Plan designado para la adquisición de acciones de las Acciones Ordinarias de conformidad con los términos y condiciones establecidos en el Plan y el Convenio de Subscripción.</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Reconozco y acepto que la participación del Patrón en el Plan está limitada a fungir como intermediario en la entrega a la Compañía, de las cantidades que serán descontadas de mi salario en cada periodo de pago y que los beneficios recibidos bajo el Plan no son prestaciones adicionales no obligatorias otorgadas por el Patrón. Mi Patrón no me hará ningún pago adicional por concepto de salario ni cualquier otra compensación con motivo del Plan. Adicionalmente reconozco que el descuento a mi salario que he autorizado no deberá interpretarse como una reducción a mi salario, sino que he recibido el pago integro, total y completo de mi salario por cada periodo de pago durante mi participación en el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Renuncia de derecho o demandas para Compensación</w:t>
      </w:r>
      <w:r>
        <w:rPr>
          <w:rFonts w:ascii="Times New Roman" w:cs="Times New Roman" w:eastAsia="Times New Roman" w:hAnsi="Times New Roman"/>
          <w:sz w:val="21"/>
          <w:szCs w:val="21"/>
          <w:i w:val="1"/>
          <w:iCs w:val="1"/>
          <w:color w:val="auto"/>
        </w:rPr>
        <w:t>. Esta disposición complementa la Sección 4 del Apéndice A del Convenio de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Subscripción:</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Al aceptar las opciones, los derechos de compra de acciones, estoy de acuerdo que: (i) el derecho de comprar acciones en el Plan no está relacionado con el salario (excepto en el entendido que</w:t>
      </w:r>
    </w:p>
    <w:p>
      <w:pPr>
        <w:sectPr>
          <w:pgSz w:w="11900" w:h="16838" w:orient="portrait"/>
          <w:cols w:equalWidth="0" w:num="1">
            <w:col w:w="11420"/>
          </w:cols>
          <w:pgMar w:left="240" w:top="369" w:right="239" w:bottom="1440" w:gutter="0" w:footer="0" w:header="0"/>
        </w:sectPr>
      </w:pPr>
    </w:p>
    <w:bookmarkStart w:id="155" w:name="page156"/>
    <w:bookmarkEnd w:id="155"/>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decida contribuir cantidades de mi Compensación al Plan) y cualquier otra prestación contractual otorgada por Autodesk – México; (ii) cualquier modificación del Plan o su terminación no constituye un cambio o perjuicio de los términos y condiciones de mi relación de trabajo; y (iii) cualquier beneficio derivado del Plan no es una prestación contractual adicional.</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Declaración Política</w:t>
      </w:r>
      <w:r>
        <w:rPr>
          <w:rFonts w:ascii="Times New Roman" w:cs="Times New Roman" w:eastAsia="Times New Roman" w:hAnsi="Times New Roman"/>
          <w:sz w:val="22"/>
          <w:szCs w:val="22"/>
          <w:i w:val="1"/>
          <w:iCs w:val="1"/>
          <w:color w:val="auto"/>
        </w:rPr>
        <w:t>. La invitación por parte de la Compañía bajo el Plan es unilateral y discrecional y, por lo tanto, la Compañía se reserva el derecho absoluto de modificarlo y discontinuarlo en cualquier momento, sin ninguna responsabilidad.</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La Compañía, con oficinas registradas ubicadas en 111 McInnis Parkway, San Rafael, CA 94903 EUA, es la única responsable por la administración del Plan y de la participación en el mismo y, la adquisición de acciones de la Acciones Ordinarias no implica de forma alguna, una relación de trabajo entre mi persona y la Compañía, en virtud de que mi participación en el Plan es completamente comercial y mi único y exclusivo patrón es mi Patrón, Autodesk-México, así como tampoco establece ningún derecho entre mi persona y mi Patrón.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u w:val="single" w:color="auto"/>
          <w:color w:val="auto"/>
        </w:rPr>
        <w:t>Reconocimiento del Plan de Documento</w:t>
      </w:r>
      <w:r>
        <w:rPr>
          <w:rFonts w:ascii="Times New Roman" w:cs="Times New Roman" w:eastAsia="Times New Roman" w:hAnsi="Times New Roman"/>
          <w:sz w:val="22"/>
          <w:szCs w:val="22"/>
          <w:i w:val="1"/>
          <w:iCs w:val="1"/>
          <w:color w:val="auto"/>
        </w:rPr>
        <w:t>. Al aceptar los términos del Convenio de Subscripción, reconozco que he recibido copias del Plan, he revisado al igual la totalidad del Plan y Convenio de Subscripción y he entendido y aceptado todas las disposiciones contenidas en el Plan y en el Convenio de Subscripción.</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i w:val="1"/>
          <w:iCs w:val="1"/>
          <w:color w:val="auto"/>
        </w:rPr>
        <w:t>Adicionalmente, al aceptar los términos del Convenio de Subscripción, reconozco que he leído y aprobado específica y expresamente los términos y condiciones contenidos en la sección 4 del Apéndice A del Convenio de Subscripción, apartado en el cual se encuentra claramente descrito y establecido lo siguiente: (i) participación en el Plan no constituye un derecho adquirido;</w:t>
      </w:r>
    </w:p>
    <w:p>
      <w:pPr>
        <w:spacing w:after="0" w:line="1" w:lineRule="exact"/>
        <w:rPr>
          <w:sz w:val="20"/>
          <w:szCs w:val="20"/>
          <w:color w:val="auto"/>
        </w:rPr>
      </w:pPr>
    </w:p>
    <w:p>
      <w:pPr>
        <w:jc w:val="both"/>
        <w:ind w:firstLine="8"/>
        <w:spacing w:after="0" w:line="245" w:lineRule="auto"/>
        <w:tabs>
          <w:tab w:leader="none" w:pos="321" w:val="left"/>
        </w:tabs>
        <w:numPr>
          <w:ilvl w:val="0"/>
          <w:numId w:val="1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Plan y la participación en el mismo es ofrecido por la Compañía de forma enteramente discrecional; (iii) participación en el Plan es voluntaria; y (iv) la Compañía, así como sus compañías subsidiarias y afiliadas no son responsables por cualquier detrimento en el valor de las acciones de las Acciones Comunes que pudiera adquirir mediante el ejercicio de mi derecho de compra establecido en el Plan.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Finalmente, por medio de la presente declaro que no me reservo ninguna acción o derecho para interponer una demanda en contra de la Compañía por compensación, daño o perjuicio alguno como resultado de la terminación de relación laboral y de la terminación de la participación en el Plan y en consecuencia, otorgo el más amplio finiquito a mi Patrón (Autodesk-México), así como a la Compañía y a sus compañías Subsidiarias o Afiliadas con respecto a cualquier demanda que pudiera originarse en virtud del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By enrolling in the Plan , I acknowledge that the option rights and shares of Common Stock purchased under the Plan are intended as an incentive for me to remain employed with the Company or Employer and are not intended as remuneration for labor performed.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Securities Law Notification</w:t>
      </w:r>
    </w:p>
    <w:p>
      <w:pPr>
        <w:sectPr>
          <w:pgSz w:w="11900" w:h="16838" w:orient="portrait"/>
          <w:cols w:equalWidth="0" w:num="1">
            <w:col w:w="11420"/>
          </w:cols>
          <w:pgMar w:left="240" w:top="365" w:right="2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86080"/>
                    </a:xfrm>
                    <a:prstGeom prst="rect">
                      <a:avLst/>
                    </a:prstGeom>
                    <a:noFill/>
                  </pic:spPr>
                </pic:pic>
              </a:graphicData>
            </a:graphic>
          </wp:anchor>
        </w:drawing>
        <w:t>NEW ZEALAND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In compliance with New Zealand securities laws, I am hereby notified that the documents listed below are available for review on Autodesk, Inc.’s external and internal sites at the following web addresses listed: www.sec.gov and http://investors.autodesk.com/phoenix.zhtml?c=117861&amp;p=irol-sec.</w:t>
      </w: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309" w:lineRule="auto"/>
        <w:tabs>
          <w:tab w:leader="none" w:pos="6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Subscription Agreement, including Appendix A and this Appendix B, which sets forth the terms and conditions of the offer to purchase shares of Common Stock;</w:t>
      </w:r>
    </w:p>
    <w:p>
      <w:pPr>
        <w:spacing w:after="0" w:line="37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most recent annual report and most recent financial statements;</w:t>
      </w: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(iii)a copy the Plan and its accompanying prospectus</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understand I am advised to carefully read the available materials before making a decision whether to participate in the Plan. When reading the materials, I should note that all references to the purchase price per share of Common Stock are listed in US dollars. Additionally, I am advised to contact my tax advisor for specific information concerning my personal tax situation with regard to Plan participation.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NORWAY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PHILIPPINES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I understand I am permitted to dispose or sell shares of Common Stock acquired under the Plan provided the offer and resale of the shares of Common Stock takes place outside the Philippines through the facilities of a stock exchange on which the shares of Common Stock are listed. The shares of Common Stock are currently listed on the NASDAQ Global Select Market in the United States of America. </w:t>
      </w:r>
      <w:r>
        <w:rPr>
          <w:rFonts w:ascii="Times New Roman" w:cs="Times New Roman" w:eastAsia="Times New Roman" w:hAnsi="Times New Roman"/>
          <w:sz w:val="22"/>
          <w:szCs w:val="22"/>
          <w:i w:val="1"/>
          <w:iCs w:val="1"/>
          <w:color w:val="auto"/>
        </w:rPr>
        <w:t>I understand the Company recommends that I consult with my legal advisor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if I have questions regarding the application of Philippines securities laws to the disposal or sale of shares of Common Stock acquired under the Plan.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POLAND</w:t>
      </w:r>
    </w:p>
    <w:p>
      <w:pPr>
        <w:sectPr>
          <w:pgSz w:w="11900" w:h="16838" w:orient="portrait"/>
          <w:cols w:equalWidth="0" w:num="1">
            <w:col w:w="11420"/>
          </w:cols>
          <w:pgMar w:left="240" w:top="1189"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Authorization for Plan Participation</w:t>
      </w:r>
      <w:r>
        <w:rPr>
          <w:rFonts w:ascii="Times New Roman" w:cs="Times New Roman" w:eastAsia="Times New Roman" w:hAnsi="Times New Roman"/>
          <w:sz w:val="22"/>
          <w:szCs w:val="22"/>
          <w:color w:val="auto"/>
        </w:rPr>
        <w:t>. By electing to participate in the Plan, I hereby authorize the percentage of my Compensation (from 0% to 15%) indicated on the Company’s online enrollment tool to be deducted from each paycheck during the Offering Period in accordance with the Plan. I acknowledge that my election to participate in the Plan is voluntary and that I may freely withdraw from participation in the Plan and thereby receive a full refund of all voluntary contributions that I have made under the Plan that have not been applied towards the purchase of shares of Common Stock. As further evidence of such authorization, I agree to provide a Plan participation consent form to my Employer, or any other agreements or consents as may be required by my Employer, or by the Company,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Any transfer of funds in excess of €15,000 into or out of Poland must be effected through a bank account in Poland. I understand that I should store all documents connected with any foreign exchange transactions for a period of five years.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PORTUGAL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I hereby expressly declare that I have full knowledge of the English language and have read, understood and freely accepted and agreed with the terms and conditions established in the Plan and the Subscription Agreement.</w:t>
      </w:r>
    </w:p>
    <w:p>
      <w:pPr>
        <w:spacing w:after="0" w:line="200" w:lineRule="exact"/>
        <w:rPr>
          <w:sz w:val="20"/>
          <w:szCs w:val="20"/>
          <w:color w:val="auto"/>
        </w:rPr>
      </w:pP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Conhecimento da Língua</w:t>
      </w:r>
      <w:r>
        <w:rPr>
          <w:rFonts w:ascii="Times New Roman" w:cs="Times New Roman" w:eastAsia="Times New Roman" w:hAnsi="Times New Roman"/>
          <w:sz w:val="22"/>
          <w:szCs w:val="22"/>
          <w:i w:val="1"/>
          <w:iCs w:val="1"/>
          <w:color w:val="auto"/>
        </w:rPr>
        <w:t>. Pelo presente declaro expressamente que tenho pleno conhecimento da língua inglesa e que li, compreendi e livremente aceitei e concordei com os termos e condições estabelecidas no Plano e no Acordo de Subscrição.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xml:space="preserve">. If I hold shares of Common Stock purchased under the Plan, I understand the acquisition of the shares of Common Stock should be reported to the </w:t>
      </w:r>
      <w:r>
        <w:rPr>
          <w:rFonts w:ascii="Times New Roman" w:cs="Times New Roman" w:eastAsia="Times New Roman" w:hAnsi="Times New Roman"/>
          <w:sz w:val="22"/>
          <w:szCs w:val="22"/>
          <w:i w:val="1"/>
          <w:iCs w:val="1"/>
          <w:color w:val="auto"/>
        </w:rPr>
        <w:t>Banco de Portugal</w:t>
      </w:r>
      <w:r>
        <w:rPr>
          <w:rFonts w:ascii="Times New Roman" w:cs="Times New Roman" w:eastAsia="Times New Roman" w:hAnsi="Times New Roman"/>
          <w:sz w:val="22"/>
          <w:szCs w:val="22"/>
          <w:color w:val="auto"/>
        </w:rPr>
        <w:t xml:space="preserve"> for statistical purposes. If the shares of Common Stock are deposited with a commercial bank or financial intermediary in Portugal, such bank or financial intermediary will submit the report on my behalf. If the shares of Common Stock are not deposited with a commercial bank or financial intermediary in Portugal, I am responsible for submitting the report to the Banco de Portugal.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QATAR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ectPr>
          <w:pgSz w:w="11900" w:h="16838" w:orient="portrait"/>
          <w:cols w:equalWidth="0" w:num="1">
            <w:col w:w="11420"/>
          </w:cols>
          <w:pgMar w:left="240" w:top="363" w:right="2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I deposit the proceeds from the sale of shares of Common Stock acquired under the Plan in a bank account in Romania, I may be required to provide the Romanian bank with appropriate documentation explaining the source of the funds. I understand that I should consult with my personal legal advisor to determine whether I will be required to submit such documentation to the Romanian bank.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SINGAPORE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Form of Contributions</w:t>
      </w:r>
      <w:r>
        <w:rPr>
          <w:rFonts w:ascii="Times New Roman" w:cs="Times New Roman" w:eastAsia="Times New Roman" w:hAnsi="Times New Roman"/>
          <w:sz w:val="22"/>
          <w:szCs w:val="22"/>
          <w:color w:val="auto"/>
        </w:rPr>
        <w:t>. Notwithstanding Sections 2 and 3 of the Subscription Agreement, due to restrictions on payroll deductions under Singapore law, I acknowledge and agree that I may be required to participate in the Plan by means other than payroll deductions (e.g., bank wire or check) if the Company, in its discretion, determines that collection of payroll deductions is not permissible or administratively feasible under Singapore law.</w:t>
      </w:r>
    </w:p>
    <w:p>
      <w:pPr>
        <w:spacing w:after="0" w:line="3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this regard and upon notice by the Company or the Employer, I understand and agree that no payroll deductions will be made from my paychecks and that I will be required to make Contributions for the purchase of shares of Common Stock under the Plan by the means set forth in such notice. I further understand and agree that no shares of Common Stock will be purchased on my behalf under the Plan if I fail to submit my Contributions in the manner required by such notice.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grant of options under the Plan is being made pursuant to the “Qualifying Person” exemption under section 273(1)(f) of the Singapore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The Plan has not been lodged or registered as a prospectus with the Monetary Authority of Singapore. Further, the options granted under the Plan are subject to section 257 of the SFA and I understand I am not permitted to sell, or offer to sell, any shares of Common Stock in Singapore unless such sale or offer is made pursuant to the exemptions under Part XIII Division (1) Subdivision (4) (other than section 280) of the SFA.</w:t>
      </w:r>
    </w:p>
    <w:p>
      <w:pPr>
        <w:spacing w:after="0" w:line="3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Chief Executive Officer and Director Notification Obligation</w:t>
      </w:r>
      <w:r>
        <w:rPr>
          <w:rFonts w:ascii="Times New Roman" w:cs="Times New Roman" w:eastAsia="Times New Roman" w:hAnsi="Times New Roman"/>
          <w:sz w:val="22"/>
          <w:szCs w:val="22"/>
          <w:color w:val="auto"/>
        </w:rPr>
        <w:t>. The Chief Executive Officer (“CEO”), directors, associate directors or shadow directors of a Singapore parent, Subsidiary or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options granted under the Plan or shares of Common Stock) in the Company or any parent, Subsidiary or Affiliate, (ii) any change in previously-disclosed interests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upon exercise of options granted under the Plan), of (iii) becoming a CEO, director, associate director or shadow director of a parent, Subsidiary or Affiliate in Singapore, if the individual holds such an interest at that time.</w:t>
      </w:r>
    </w:p>
    <w:p>
      <w:pPr>
        <w:sectPr>
          <w:pgSz w:w="11900" w:h="16838" w:orient="portrait"/>
          <w:cols w:equalWidth="0" w:num="1">
            <w:col w:w="11420"/>
          </w:cols>
          <w:pgMar w:left="240" w:top="581" w:right="2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supplements Section 4 of Appendix A to the Subscription Agreement: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By accepting the options, I consent to participation in the Plan and acknowledge I have received a copy of the Plan. I understand that the Company has unilaterally, gratuitously, and discretionarily decided to offer the Plan to individuals who may be employees of the Company or of its parents, Subsidiaries or Affiliates throughout the world. The decision is a temporary decision that is entered into upon the express assumption and condition that any grant of options will not economically or otherwise bind the Company or any of its parents, Subsidiaries or Affiliates presently or in the future, other than as expressly set forth in the Subscription Agreement, including Appendix A to the Subscription Agreement. Consequently, I understand that any grant of options is made on the assumption and condition that it shall not become a part of any employment contract (either with the Company or any of its parents, Subsidiaries or Affiliates) and shall not be considered a mandatory benefit, salary for any purpose (including severance compensation), or any other right whatsoever. Further, I understand and freely accept the Company does not guarantee that any benefit whatsoever shall arise from the option, which is gratuitous and discretionary, since the future value of the shares of Common Stock is unknown and unpredictable. Finally, I understand the Company would not be making this grant of options but for the assumptions and conditions referred to above; thus, I expressly acknowledge and freely accept that should any or all of the assumptions be mistaken or should any of the conditions not be met for any reason, then the grant of options shall be null and void and the Plan shall not have any effect whatsoever.</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Furthermore, I understand the option is a conditional right. Except as determined by the Committee or as provided in the Subscription Agreement and/or Appendix A, I shall forfeit any unvested options upon termination of employment. The terms of this provision apply even if I am considered to be unfairly dismissed without good cause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subject to a “</w:t>
      </w:r>
      <w:r>
        <w:rPr>
          <w:rFonts w:ascii="Times New Roman" w:cs="Times New Roman" w:eastAsia="Times New Roman" w:hAnsi="Times New Roman"/>
          <w:sz w:val="21"/>
          <w:szCs w:val="21"/>
          <w:i w:val="1"/>
          <w:iCs w:val="1"/>
          <w:color w:val="auto"/>
        </w:rPr>
        <w:t>despido improcedente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xml:space="preserve">. The acquisition of shares of Common Stock must be declared for statistical purposes to the </w:t>
      </w:r>
      <w:r>
        <w:rPr>
          <w:rFonts w:ascii="Times New Roman" w:cs="Times New Roman" w:eastAsia="Times New Roman" w:hAnsi="Times New Roman"/>
          <w:sz w:val="22"/>
          <w:szCs w:val="22"/>
          <w:i w:val="1"/>
          <w:iCs w:val="1"/>
          <w:color w:val="auto"/>
        </w:rPr>
        <w:t xml:space="preserve">Dirección General de Comercio e Inversiones </w:t>
      </w:r>
      <w:r>
        <w:rPr>
          <w:rFonts w:ascii="Times New Roman" w:cs="Times New Roman" w:eastAsia="Times New Roman" w:hAnsi="Times New Roman"/>
          <w:sz w:val="22"/>
          <w:szCs w:val="22"/>
          <w:color w:val="auto"/>
        </w:rPr>
        <w:t>(“DGCI”). I understand I also must declare the ownership of any shares of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with the DGCI each January while the shares of Common Stock are owned, unless the amount of shares of Common Stock acquired or sold exceeds the applicable threshold (currently €1,502,530), or I hold 10% or more of the share capital of the Company or other such amount that would entitle me to join the Board, in which case the filing is due within one month after the sale.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When receiving foreign currency payments derived from the ownership of shares of Common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dividends or sale proceeds) in excess of €50,000, I understand I must inform the financial institution receiving the payment of the basis upon which such payment is made. I will need to</w:t>
      </w:r>
    </w:p>
    <w:p>
      <w:pPr>
        <w:sectPr>
          <w:pgSz w:w="11900" w:h="16838" w:orient="portrait"/>
          <w:cols w:equalWidth="0" w:num="1">
            <w:col w:w="11420"/>
          </w:cols>
          <w:pgMar w:left="240" w:top="1270" w:right="239" w:bottom="1440" w:gutter="0" w:footer="0" w:header="0"/>
        </w:sectPr>
      </w:pPr>
    </w:p>
    <w:bookmarkStart w:id="160" w:name="page161"/>
    <w:bookmarkEnd w:id="160"/>
    <w:p>
      <w:pPr>
        <w:jc w:val="both"/>
        <w:spacing w:after="0" w:line="257" w:lineRule="auto"/>
        <w:rPr>
          <w:sz w:val="20"/>
          <w:szCs w:val="20"/>
          <w:color w:val="auto"/>
        </w:rPr>
      </w:pPr>
      <w:r>
        <w:rPr>
          <w:rFonts w:ascii="Times New Roman" w:cs="Times New Roman" w:eastAsia="Times New Roman" w:hAnsi="Times New Roman"/>
          <w:sz w:val="22"/>
          <w:szCs w:val="22"/>
          <w:color w:val="auto"/>
        </w:rPr>
        <w:t>provide the following information: (i) my name, address, and fiscal identification number; (ii) the name and corporate domicile of the Company; (iii) the amount of the payment and the currency used; (iv) the country of origin; (v) the reasons for the payment; and (vi) further information that may be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understand I should consult with my personal advisor to determine any obligations in this respect.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option. The options described in the Subscription Agreement, Appendix A to the Subscription Agreement and this Appendix B have not been nor will it be registered with the </w:t>
      </w:r>
      <w:r>
        <w:rPr>
          <w:rFonts w:ascii="Times New Roman" w:cs="Times New Roman" w:eastAsia="Times New Roman" w:hAnsi="Times New Roman"/>
          <w:sz w:val="22"/>
          <w:szCs w:val="22"/>
          <w:i w:val="1"/>
          <w:iCs w:val="1"/>
          <w:color w:val="auto"/>
        </w:rPr>
        <w:t>Comisión Nacional del Mercado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Valores</w:t>
      </w:r>
      <w:r>
        <w:rPr>
          <w:rFonts w:ascii="Times New Roman" w:cs="Times New Roman" w:eastAsia="Times New Roman" w:hAnsi="Times New Roman"/>
          <w:sz w:val="22"/>
          <w:szCs w:val="22"/>
          <w:color w:val="auto"/>
        </w:rPr>
        <w:t>, and does not constitute a public offering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option to purchase shares of Common Stock is not intended to be publicly offered in or from Switzerland. Neither this document nor any other materials relating to the option constitutes a prospectus as such term is understood pursuant to article 652a of the Swiss Code of Obligations and neither this document nor any other materials relating to the option may be publicly distribute nor otherwise made publicly available in Switzerland.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TAIWAN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Data Privacy Acknowledgement</w:t>
      </w:r>
      <w:r>
        <w:rPr>
          <w:rFonts w:ascii="Times New Roman" w:cs="Times New Roman" w:eastAsia="Times New Roman" w:hAnsi="Times New Roman"/>
          <w:sz w:val="22"/>
          <w:szCs w:val="22"/>
          <w:color w:val="auto"/>
        </w:rPr>
        <w:t>. I hereby acknowledge I have read and understood the terms regarding collection, processing and transfer of my Data contained in Section 5 of Appendix A to the Subscription Agreement and agree that, by enrolling in the Plan, I am agreeing to such terms. In this regard, upon request of the Company or the Employer, I agree to provide any executed data privacy consent form (or any other agreements or consents that may be required by the Employer or the Company) should the Company and/or the Employer deem such agreement or consent necessary under the data privacy laws, either now or in the future. I understand I will not be able to participate in the Plan if I fail to execute any such consent or agreement.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The offer of participation in the Plan is available only for Employees. The offer of participation in the Plan is not a public offer of securities by a Taiwanese company.</w:t>
      </w:r>
    </w:p>
    <w:p>
      <w:pPr>
        <w:spacing w:after="0" w:line="1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Taiwanese residents may acquire and remit foreign currency (including funds to purchase or proceeds from the sale of shares of Common Stock) into and out</w:t>
      </w:r>
    </w:p>
    <w:p>
      <w:pPr>
        <w:sectPr>
          <w:pgSz w:w="11900" w:h="16838" w:orient="portrait"/>
          <w:cols w:equalWidth="0" w:num="1">
            <w:col w:w="11420"/>
          </w:cols>
          <w:pgMar w:left="240" w:top="369" w:right="239" w:bottom="1440" w:gutter="0" w:footer="0" w:header="0"/>
        </w:sectPr>
      </w:pPr>
    </w:p>
    <w:bookmarkStart w:id="161" w:name="page162"/>
    <w:bookmarkEnd w:id="161"/>
    <w:p>
      <w:pPr>
        <w:jc w:val="both"/>
        <w:spacing w:after="0" w:line="250" w:lineRule="auto"/>
        <w:rPr>
          <w:sz w:val="20"/>
          <w:szCs w:val="20"/>
          <w:color w:val="auto"/>
        </w:rPr>
      </w:pPr>
      <w:r>
        <w:rPr>
          <w:rFonts w:ascii="Times New Roman" w:cs="Times New Roman" w:eastAsia="Times New Roman" w:hAnsi="Times New Roman"/>
          <w:sz w:val="22"/>
          <w:szCs w:val="22"/>
          <w:color w:val="auto"/>
        </w:rPr>
        <w:t>of Taiwan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I understand I am personally responsible for complying with exchange control restrictions in Taiwan.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Authorization for Plan Participation</w:t>
      </w:r>
      <w:r>
        <w:rPr>
          <w:rFonts w:ascii="Times New Roman" w:cs="Times New Roman" w:eastAsia="Times New Roman" w:hAnsi="Times New Roman"/>
          <w:sz w:val="22"/>
          <w:szCs w:val="22"/>
          <w:color w:val="auto"/>
        </w:rPr>
        <w:t>. By electing to participate in the Plan, I hereby authorize the percentage of my Compensation (from 0% to 15%) indicated on the Company’s online enrollment tool to be deducted from each paycheck during the Offering Period in accordance with the Plan. I understand my election to participate in the Plan is voluntary and I may freely withdraw from participation in the Plan and thereby receive a full refund of all voluntary contributions I have made under the Plan that have not been applied towards the purchase of shares of Common Stock. As further evidence of such authorization, I agree to provide a Plan participation consent form to my Employer, or any other agreements or consents as may be required by my Employer, or by the Company,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Exchange Control Notification</w:t>
      </w:r>
      <w:r>
        <w:rPr>
          <w:rFonts w:ascii="Times New Roman" w:cs="Times New Roman" w:eastAsia="Times New Roman" w:hAnsi="Times New Roman"/>
          <w:sz w:val="22"/>
          <w:szCs w:val="22"/>
          <w:color w:val="auto"/>
        </w:rPr>
        <w:t>. If I am a Thai resident, I understand I am required to immediately repatriate the proceeds from the sale of shares of Common Stock to Thailand and to convert such proceeds to Thai Baht within 360 days of repatriation. If the amount of the proceeds from the sale of my shares of Common Stock is US$50,000 or more, I further understand I must specifically report the inward remittance to the Bank of Thailand on a foreign exchange transaction form. If I fail to comply with these obligations, I may be subject to penalties assessed by the Bank of Thailand. I acknowledge I should consult my personal legal advisor prior to taking any action with respect to remittance of proceeds from the sale of shares of Common Stock into Thailand. I am responsible for ensuring compliance with all exchange control laws in Thailand.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TURKEY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I understand I am not permitted to sell shares of Common Stock acquired under the Plan in Turkey. The shares of Common Stock are currently traded on the NASDAQ Global Select Market, which is located outside Turkey, under the ticker symbol “ADSK” and the shares of Common Stock may be sold through this exchange.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xml:space="preserve">. I understand I will likely be required to engage a Turkish financial intermediary to assist with the sale of shares of Common Stock acquired under the Plan and may also need to engage a Turkish financial intermediary with respect to the acquisition of such shares of Common Stock, although this is less certain. </w:t>
      </w:r>
      <w:r>
        <w:rPr>
          <w:rFonts w:ascii="Times New Roman" w:cs="Times New Roman" w:eastAsia="Times New Roman" w:hAnsi="Times New Roman"/>
          <w:sz w:val="22"/>
          <w:szCs w:val="22"/>
          <w:i w:val="1"/>
          <w:iCs w:val="1"/>
          <w:color w:val="auto"/>
        </w:rPr>
        <w:t>I understand I am solely responsible for complying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with the financial intermediary requirements and their application to participation in the Plan is</w:t>
      </w:r>
    </w:p>
    <w:p>
      <w:pPr>
        <w:sectPr>
          <w:pgSz w:w="11900" w:h="16838" w:orient="portrait"/>
          <w:cols w:equalWidth="0" w:num="1">
            <w:col w:w="11420"/>
          </w:cols>
          <w:pgMar w:left="240" w:top="369" w:right="239" w:bottom="1440" w:gutter="0" w:footer="0" w:header="0"/>
        </w:sectPr>
      </w:pPr>
    </w:p>
    <w:bookmarkStart w:id="162" w:name="page163"/>
    <w:bookmarkEnd w:id="162"/>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uncertain and I should consult my personal legal advisor for further information regarding these requirements to ensure compliance.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Participation in the Plan is being offered only to selected employees and is in the nature of providing equity incentives to employees of the Company or its Subsidiaries and Affiliates in the United Arab Emirates. The Plan and the Subscription Agreement are intended for distribution only to such employees and must not be delivered to, or relied on by, any other person. Prospective purchasers of the securities offered should conduct their own due diligence on the securities. If I do not understand the contents of the Plan or the Subscription Agreement (including Appendix A to the Subscription Agreement and this Appendix B), I understand I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Subscription Agreement nor taken steps to verify the information set out therein, and have no responsibility for such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The following provision supplements Section 3 of Appendix A to the Subscription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agree the Employer and/or the Company may calculate the Tax-Related Items to be withheld and accounted for by reference to the maximum applicable rates, without prejudice to any right I may have to recover any overpayment from relevant U.K. tax authorities.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payment or withholding of any income tax liability arising in connection with my participation in the Plan is not made by me to the Employer within ninety (90) days of the end of the U.K. tax year in which the event giving rise to such income tax liability occurred or such other period specified in Section 222(1)(c) of the U.K. Income Tax (Earnings and Pensions) Act 2003 (the “Due Date”), I understand and agree that the amount of any uncollected income tax will constitute a loan owed by me to the Employer, effective on the Due Date. I understand and agree that the loan will bear interest at the then-current official rate of Her Majesty’s Revenue and Customs, it will be immediately due and repayable by me, and the Company and/or the Employer may recover it at any time thereafter by any of the means referred to in the Plan or Section 3 of Appendix A to the Subscription Agreement.</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Notwithstanding the foregoing, I understand and agree that if I am a director or an executive officer of the Company (within the meaning of such terms for purposes of Section 13(k) of the Exchange Act), I will not be eligible for such a loan to cover the income tax liability. In the event that I am a director or executive officer and the income tax is not collected from or paid by me by the Due Date, I understand the amount of any uncollected income tax may constitute an additional benefit to me on which additional income tax and National Insurance Contributions may be payable. I understand and agree that I will be responsible for reporting and paying any income tax due on this</w:t>
      </w:r>
    </w:p>
    <w:p>
      <w:pPr>
        <w:sectPr>
          <w:pgSz w:w="11900" w:h="16838" w:orient="portrait"/>
          <w:cols w:equalWidth="0" w:num="1">
            <w:col w:w="11420"/>
          </w:cols>
          <w:pgMar w:left="240" w:top="365" w:right="239" w:bottom="1440" w:gutter="0" w:footer="0" w:header="0"/>
        </w:sectPr>
      </w:pPr>
    </w:p>
    <w:bookmarkStart w:id="163" w:name="page164"/>
    <w:bookmarkEnd w:id="163"/>
    <w:p>
      <w:pPr>
        <w:jc w:val="both"/>
        <w:spacing w:after="0" w:line="252" w:lineRule="auto"/>
        <w:rPr>
          <w:sz w:val="20"/>
          <w:szCs w:val="20"/>
          <w:color w:val="auto"/>
        </w:rPr>
      </w:pPr>
      <w:r>
        <w:rPr>
          <w:rFonts w:ascii="Times New Roman" w:cs="Times New Roman" w:eastAsia="Times New Roman" w:hAnsi="Times New Roman"/>
          <w:sz w:val="22"/>
          <w:szCs w:val="22"/>
          <w:color w:val="auto"/>
        </w:rPr>
        <w:t>additional benefit directly to Her Majesty’s Revenue and Customs under the self-assessment regime and for reimbursing the Company or the Employer (as appropriate) for the value of any National Insurance Contributions due on this additional benefit, which the Company or the Employer may recover from me by any of the means referred to in Section 3 of Appendix A to the Subscription Agreement.</w:t>
      </w:r>
    </w:p>
    <w:p>
      <w:pPr>
        <w:sectPr>
          <w:pgSz w:w="11900" w:h="16838" w:orient="portrait"/>
          <w:cols w:equalWidth="0" w:num="1">
            <w:col w:w="11420"/>
          </w:cols>
          <w:pgMar w:left="240" w:top="369"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2016</w:t>
      </w:r>
    </w:p>
    <w:p>
      <w:pPr>
        <w:spacing w:after="0" w:line="25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ARL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420"/>
          </w:cols>
          <w:pgMar w:left="240" w:top="657"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2016</w:t>
      </w:r>
    </w:p>
    <w:p>
      <w:pPr>
        <w:spacing w:after="0" w:line="25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420"/>
          </w:cols>
          <w:pgMar w:left="240" w:top="658"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30, 2016</w:t>
      </w:r>
    </w:p>
    <w:p>
      <w:pPr>
        <w:spacing w:after="0" w:line="25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ARL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33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30, 2016</w:t>
      </w:r>
    </w:p>
    <w:p>
      <w:pPr>
        <w:spacing w:after="0" w:line="252"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34290</wp:posOffset>
            </wp:positionV>
            <wp:extent cx="32416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x"/>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1."/>
      <w:numFmt w:val="decimal"/>
      <w:start w:val="5"/>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1."/>
      <w:numFmt w:val="decimal"/>
      <w:start w:val="7"/>
    </w:lvl>
  </w:abstractNum>
  <w:abstractNum w:abstractNumId="9">
    <w:nsid w:val="1DBABF00"/>
    <w:multiLevelType w:val="hybridMultilevel"/>
    <w:lvl w:ilvl="0">
      <w:lvlJc w:val="left"/>
      <w:lvlText w:val="(%1)"/>
      <w:numFmt w:val="decimal"/>
      <w:start w:val="1"/>
    </w:lvl>
  </w:abstractNum>
  <w:abstractNum w:abstractNumId="10">
    <w:nsid w:val="4AD084E9"/>
    <w:multiLevelType w:val="hybridMultilevel"/>
    <w:lvl w:ilvl="0">
      <w:lvlJc w:val="left"/>
      <w:lvlText w:val="(%1)"/>
      <w:numFmt w:val="decimal"/>
      <w:start w:val="1"/>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1)"/>
      <w:numFmt w:val="decimal"/>
      <w:start w:val="1"/>
    </w:lvl>
  </w:abstractNum>
  <w:abstractNum w:abstractNumId="13">
    <w:nsid w:val="5DB70AE5"/>
    <w:multiLevelType w:val="hybridMultilevel"/>
    <w:lvl w:ilvl="0">
      <w:lvlJc w:val="left"/>
      <w:lvlText w:val="(%1)"/>
      <w:numFmt w:val="decimal"/>
      <w:start w:val="1"/>
    </w:lvl>
  </w:abstractNum>
  <w:abstractNum w:abstractNumId="14">
    <w:nsid w:val="100F8FCA"/>
    <w:multiLevelType w:val="hybridMultilevel"/>
    <w:lvl w:ilvl="0">
      <w:lvlJc w:val="left"/>
      <w:lvlText w:val="(%1)"/>
      <w:numFmt w:val="decimal"/>
      <w:start w:val="1"/>
    </w:lvl>
  </w:abstractNum>
  <w:abstractNum w:abstractNumId="15">
    <w:nsid w:val="6590700B"/>
    <w:multiLevelType w:val="hybridMultilevel"/>
    <w:lvl w:ilvl="0">
      <w:lvlJc w:val="left"/>
      <w:lvlText w:val="(%1)"/>
      <w:numFmt w:val="decimal"/>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1)"/>
      <w:numFmt w:val="decimal"/>
      <w:start w:val="1"/>
    </w:lvl>
  </w:abstractNum>
  <w:abstractNum w:abstractNumId="18">
    <w:nsid w:val="98A3148"/>
    <w:multiLevelType w:val="hybridMultilevel"/>
    <w:lvl w:ilvl="0">
      <w:lvlJc w:val="left"/>
      <w:lvlText w:val="(%1)"/>
      <w:numFmt w:val="decimal"/>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1)"/>
      <w:numFmt w:val="lowerRoman"/>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1"/>
      <w:numFmt w:val="decimal"/>
      <w:start w:val="1"/>
    </w:lvl>
    <w:lvl w:ilvl="1">
      <w:lvlJc w:val="left"/>
      <w:lvlText w:val="%2."/>
      <w:numFmt w:val="decimal"/>
      <w:start w:val="1"/>
    </w:lvl>
  </w:abstractNum>
  <w:abstractNum w:abstractNumId="36">
    <w:nsid w:val="3B0FD379"/>
    <w:multiLevelType w:val="hybridMultilevel"/>
    <w:lvl w:ilvl="0">
      <w:lvlJc w:val="left"/>
      <w:lvlText w:val="%1."/>
      <w:numFmt w:val="decimal"/>
      <w:start w:val="2"/>
    </w:lvl>
    <w:lvl w:ilvl="1">
      <w:lvlJc w:val="left"/>
      <w:lvlText w:val="%2"/>
      <w:numFmt w:val="decimal"/>
      <w:start w:val="1"/>
    </w:lvl>
  </w:abstractNum>
  <w:abstractNum w:abstractNumId="37">
    <w:nsid w:val="68EB2F63"/>
    <w:multiLevelType w:val="hybridMultilevel"/>
    <w:lvl w:ilvl="0">
      <w:lvlJc w:val="left"/>
      <w:lvlText w:val="(%1)"/>
      <w:numFmt w:val="lowerLetter"/>
      <w:start w:val="1"/>
    </w:lvl>
    <w:lvl w:ilvl="1">
      <w:lvlJc w:val="left"/>
      <w:lvlText w:val="(%2)"/>
      <w:numFmt w:val="lowerLetter"/>
      <w:start w:val="9"/>
    </w:lvl>
  </w:abstractNum>
  <w:abstractNum w:abstractNumId="38">
    <w:nsid w:val="4962813B"/>
    <w:multiLevelType w:val="hybridMultilevel"/>
    <w:lvl w:ilvl="0">
      <w:lvlJc w:val="left"/>
      <w:lvlText w:val="%1"/>
      <w:numFmt w:val="upperLetter"/>
      <w:start w:val="1"/>
    </w:lvl>
    <w:lvl w:ilvl="1">
      <w:lvlJc w:val="left"/>
      <w:lvlText w:val="(%2)"/>
      <w:numFmt w:val="lowerRoman"/>
      <w:start w:val="2"/>
    </w:lvl>
  </w:abstractNum>
  <w:abstractNum w:abstractNumId="39">
    <w:nsid w:val="60B6DF70"/>
    <w:multiLevelType w:val="hybridMultilevel"/>
    <w:lvl w:ilvl="0">
      <w:lvlJc w:val="left"/>
      <w:lvlText w:val="(%1)"/>
      <w:numFmt w:val="upperLetter"/>
      <w:start w:val="1"/>
    </w:lvl>
    <w:lvl w:ilvl="1">
      <w:lvlJc w:val="left"/>
      <w:lvlText w:val="%2"/>
      <w:numFmt w:val="lowerRoman"/>
      <w:start w:val="1"/>
    </w:lvl>
  </w:abstractNum>
  <w:abstractNum w:abstractNumId="40">
    <w:nsid w:val="6A5EE64"/>
    <w:multiLevelType w:val="hybridMultilevel"/>
    <w:lvl w:ilvl="0">
      <w:lvlJc w:val="left"/>
      <w:lvlText w:val="%1"/>
      <w:numFmt w:val="lowerLetter"/>
      <w:start w:val="1"/>
    </w:lvl>
    <w:lvl w:ilvl="1">
      <w:lvlJc w:val="left"/>
      <w:lvlText w:val="(%2)"/>
      <w:numFmt w:val="lowerLetter"/>
      <w:start w:val="7"/>
    </w:lvl>
  </w:abstractNum>
  <w:abstractNum w:abstractNumId="41">
    <w:nsid w:val="14330624"/>
    <w:multiLevelType w:val="hybridMultilevel"/>
    <w:lvl w:ilvl="0">
      <w:lvlJc w:val="left"/>
      <w:lvlText w:val="(%1)"/>
      <w:numFmt w:val="lowerLetter"/>
      <w:start w:val="8"/>
    </w:lvl>
    <w:lvl w:ilvl="1">
      <w:lvlJc w:val="left"/>
      <w:lvlText w:val="%2"/>
      <w:numFmt w:val="lowerLetter"/>
      <w:start w:val="1"/>
    </w:lvl>
  </w:abstractNum>
  <w:abstractNum w:abstractNumId="42">
    <w:nsid w:val="7FFFCA11"/>
    <w:multiLevelType w:val="hybridMultilevel"/>
    <w:lvl w:ilvl="0">
      <w:lvlJc w:val="left"/>
      <w:lvlText w:val="(%1)"/>
      <w:numFmt w:val="lowerLetter"/>
      <w:start w:val="17"/>
    </w:lvl>
    <w:lvl w:ilvl="1">
      <w:lvlJc w:val="left"/>
      <w:lvlText w:val="(%2)"/>
      <w:numFmt w:val="lowerRoman"/>
      <w:start w:val="1"/>
    </w:lvl>
  </w:abstractNum>
  <w:abstractNum w:abstractNumId="43">
    <w:nsid w:val="1A27709E"/>
    <w:multiLevelType w:val="hybridMultilevel"/>
    <w:lvl w:ilvl="0">
      <w:lvlJc w:val="left"/>
      <w:lvlText w:val="(%1)"/>
      <w:numFmt w:val="lowerLetter"/>
      <w:start w:val="61"/>
    </w:lvl>
    <w:lvl w:ilvl="1">
      <w:lvlJc w:val="left"/>
      <w:lvlText w:val="(%2)"/>
      <w:numFmt w:val="lowerLetter"/>
      <w:start w:val="19"/>
    </w:lvl>
  </w:abstractNum>
  <w:abstractNum w:abstractNumId="44">
    <w:nsid w:val="71EA1109"/>
    <w:multiLevelType w:val="hybridMultilevel"/>
    <w:lvl w:ilvl="0">
      <w:lvlJc w:val="left"/>
      <w:lvlText w:val="(%1)"/>
      <w:numFmt w:val="lowerLetter"/>
      <w:start w:val="20"/>
    </w:lvl>
  </w:abstractNum>
  <w:abstractNum w:abstractNumId="45">
    <w:nsid w:val="100F59DC"/>
    <w:multiLevelType w:val="hybridMultilevel"/>
    <w:lvl w:ilvl="0">
      <w:lvlJc w:val="left"/>
      <w:lvlText w:val="(%1)"/>
      <w:numFmt w:val="lowerLetter"/>
      <w:start w:val="27"/>
    </w:lvl>
  </w:abstractNum>
  <w:abstractNum w:abstractNumId="46">
    <w:nsid w:val="7FB7E0AA"/>
    <w:multiLevelType w:val="hybridMultilevel"/>
    <w:lvl w:ilvl="0">
      <w:lvlJc w:val="left"/>
      <w:lvlText w:val="(%1)"/>
      <w:numFmt w:val="lowerLetter"/>
      <w:start w:val="7"/>
    </w:lvl>
  </w:abstractNum>
  <w:abstractNum w:abstractNumId="47">
    <w:nsid w:val="6EB5BD4"/>
    <w:multiLevelType w:val="hybridMultilevel"/>
    <w:lvl w:ilvl="0">
      <w:lvlJc w:val="left"/>
      <w:lvlText w:val="%1."/>
      <w:numFmt w:val="decimal"/>
      <w:start w:val="3"/>
    </w:lvl>
    <w:lvl w:ilvl="1">
      <w:lvlJc w:val="left"/>
      <w:lvlText w:val="(%2)"/>
      <w:numFmt w:val="lowerLetter"/>
      <w:start w:val="1"/>
    </w:lvl>
  </w:abstractNum>
  <w:abstractNum w:abstractNumId="48">
    <w:nsid w:val="6F6DD9AC"/>
    <w:multiLevelType w:val="hybridMultilevel"/>
    <w:lvl w:ilvl="0">
      <w:lvlJc w:val="left"/>
      <w:lvlText w:val="(%1)"/>
      <w:numFmt w:val="lowerLetter"/>
      <w:start w:val="3"/>
    </w:lvl>
    <w:lvl w:ilvl="1">
      <w:lvlJc w:val="left"/>
      <w:lvlText w:val="%2."/>
      <w:numFmt w:val="decimal"/>
      <w:start w:val="4"/>
    </w:lvl>
  </w:abstractNum>
  <w:abstractNum w:abstractNumId="49">
    <w:nsid w:val="94211F2"/>
    <w:multiLevelType w:val="hybridMultilevel"/>
    <w:lvl w:ilvl="0">
      <w:lvlJc w:val="left"/>
      <w:lvlText w:val="(%1)"/>
      <w:numFmt w:val="lowerLetter"/>
      <w:start w:val="1"/>
    </w:lvl>
    <w:lvl w:ilvl="1">
      <w:lvlJc w:val="left"/>
      <w:lvlText w:val="(%2)"/>
      <w:numFmt w:val="lowerRoman"/>
      <w:start w:val="1"/>
    </w:lvl>
  </w:abstractNum>
  <w:abstractNum w:abstractNumId="50">
    <w:nsid w:val="885E1B"/>
    <w:multiLevelType w:val="hybridMultilevel"/>
    <w:lvl w:ilvl="0">
      <w:lvlJc w:val="left"/>
      <w:lvlText w:val="%1"/>
      <w:numFmt w:val="lowerLetter"/>
      <w:start w:val="1"/>
    </w:lvl>
    <w:lvl w:ilvl="1">
      <w:lvlJc w:val="left"/>
      <w:lvlText w:val="(%2)"/>
      <w:numFmt w:val="lowerRoman"/>
      <w:start w:val="3"/>
    </w:lvl>
  </w:abstractNum>
  <w:abstractNum w:abstractNumId="51">
    <w:nsid w:val="76272110"/>
    <w:multiLevelType w:val="hybridMultilevel"/>
    <w:lvl w:ilvl="0">
      <w:lvlJc w:val="left"/>
      <w:lvlText w:val="(%1)"/>
      <w:numFmt w:val="lowerLetter"/>
      <w:start w:val="2"/>
    </w:lvl>
    <w:lvl w:ilvl="1">
      <w:lvlJc w:val="left"/>
      <w:lvlText w:val="(%2)"/>
      <w:numFmt w:val="lowerRoman"/>
      <w:start w:val="1"/>
    </w:lvl>
  </w:abstractNum>
  <w:abstractNum w:abstractNumId="52">
    <w:nsid w:val="4C04A8AF"/>
    <w:multiLevelType w:val="hybridMultilevel"/>
    <w:lvl w:ilvl="0">
      <w:lvlJc w:val="left"/>
      <w:lvlText w:val="%1"/>
      <w:numFmt w:val="decimal"/>
      <w:start w:val="1"/>
    </w:lvl>
    <w:lvl w:ilvl="1">
      <w:lvlJc w:val="left"/>
      <w:lvlText w:val="(%2)"/>
      <w:numFmt w:val="lowerRoman"/>
      <w:start w:val="11"/>
    </w:lvl>
    <w:lvl w:ilvl="2">
      <w:lvlJc w:val="left"/>
      <w:lvlText w:val="(%3)"/>
      <w:numFmt w:val="lowerLetter"/>
      <w:start w:val="3"/>
    </w:lvl>
  </w:abstractNum>
  <w:abstractNum w:abstractNumId="53">
    <w:nsid w:val="1716703B"/>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54">
    <w:nsid w:val="14E17E33"/>
    <w:multiLevelType w:val="hybridMultilevel"/>
    <w:lvl w:ilvl="0">
      <w:lvlJc w:val="left"/>
      <w:lvlText w:val="%1."/>
      <w:numFmt w:val="decimal"/>
      <w:start w:val="7"/>
    </w:lvl>
    <w:lvl w:ilvl="1">
      <w:lvlJc w:val="left"/>
      <w:lvlText w:val="(%2)"/>
      <w:numFmt w:val="lowerLetter"/>
      <w:start w:val="1"/>
    </w:lvl>
  </w:abstractNum>
  <w:abstractNum w:abstractNumId="55">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56">
    <w:nsid w:val="74DE0EE3"/>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1"/>
    </w:lvl>
  </w:abstractNum>
  <w:abstractNum w:abstractNumId="57">
    <w:nsid w:val="68EBC550"/>
    <w:multiLevelType w:val="hybridMultilevel"/>
    <w:lvl w:ilvl="0">
      <w:lvlJc w:val="left"/>
      <w:lvlText w:val="%1"/>
      <w:numFmt w:val="lowerLetter"/>
      <w:start w:val="1"/>
    </w:lvl>
    <w:lvl w:ilvl="1">
      <w:lvlJc w:val="left"/>
      <w:lvlText w:val="(%2)"/>
      <w:numFmt w:val="lowerRoman"/>
      <w:start w:val="1"/>
    </w:lvl>
  </w:abstractNum>
  <w:abstractNum w:abstractNumId="58">
    <w:nsid w:val="2DF6D648"/>
    <w:multiLevelType w:val="hybridMultilevel"/>
    <w:lvl w:ilvl="0">
      <w:lvlJc w:val="left"/>
      <w:lvlText w:val="(%1)"/>
      <w:numFmt w:val="lowerLetter"/>
      <w:start w:val="7"/>
    </w:lvl>
    <w:lvl w:ilvl="1">
      <w:lvlJc w:val="left"/>
      <w:lvlText w:val="%2"/>
      <w:numFmt w:val="lowerRoman"/>
      <w:start w:val="1"/>
    </w:lvl>
  </w:abstractNum>
  <w:abstractNum w:abstractNumId="59">
    <w:nsid w:val="46B7D447"/>
    <w:multiLevelType w:val="hybridMultilevel"/>
    <w:lvl w:ilvl="0">
      <w:lvlJc w:val="left"/>
      <w:lvlText w:val="%1"/>
      <w:numFmt w:val="lowerLetter"/>
      <w:start w:val="1"/>
    </w:lvl>
    <w:lvl w:ilvl="1">
      <w:lvlJc w:val="left"/>
      <w:lvlText w:val="(%2)"/>
      <w:numFmt w:val="lowerLetter"/>
      <w:start w:val="8"/>
    </w:lvl>
  </w:abstractNum>
  <w:abstractNum w:abstractNumId="60">
    <w:nsid w:val="4A2AC315"/>
    <w:multiLevelType w:val="hybridMultilevel"/>
    <w:lvl w:ilvl="0">
      <w:lvlJc w:val="left"/>
      <w:lvlText w:val="(%1)"/>
      <w:numFmt w:val="lowerLetter"/>
      <w:start w:val="9"/>
    </w:lvl>
    <w:lvl w:ilvl="1">
      <w:lvlJc w:val="left"/>
      <w:lvlText w:val="%2"/>
      <w:numFmt w:val="lowerLetter"/>
      <w:start w:val="1"/>
    </w:lvl>
  </w:abstractNum>
  <w:abstractNum w:abstractNumId="61">
    <w:nsid w:val="39EE015C"/>
    <w:multiLevelType w:val="hybridMultilevel"/>
    <w:lvl w:ilvl="0">
      <w:lvlJc w:val="left"/>
      <w:lvlText w:val="%1"/>
      <w:numFmt w:val="lowerLetter"/>
      <w:start w:val="1"/>
    </w:lvl>
    <w:lvl w:ilvl="1">
      <w:lvlJc w:val="left"/>
      <w:lvlText w:val="(%2)"/>
      <w:numFmt w:val="lowerLetter"/>
      <w:start w:val="10"/>
    </w:lvl>
  </w:abstractNum>
  <w:abstractNum w:abstractNumId="62">
    <w:nsid w:val="57FC4FBB"/>
    <w:multiLevelType w:val="hybridMultilevel"/>
    <w:lvl w:ilvl="0">
      <w:lvlJc w:val="left"/>
      <w:lvlText w:val="(%1)"/>
      <w:numFmt w:val="lowerLetter"/>
      <w:start w:val="12"/>
    </w:lvl>
    <w:lvl w:ilvl="1">
      <w:lvlJc w:val="left"/>
      <w:lvlText w:val="%2"/>
      <w:numFmt w:val="lowerLetter"/>
      <w:start w:val="1"/>
    </w:lvl>
  </w:abstractNum>
  <w:abstractNum w:abstractNumId="63">
    <w:nsid w:val="CC1016F"/>
    <w:multiLevelType w:val="hybridMultilevel"/>
    <w:lvl w:ilvl="0">
      <w:lvlJc w:val="left"/>
      <w:lvlText w:val="%1."/>
      <w:numFmt w:val="decimal"/>
      <w:start w:val="9"/>
    </w:lvl>
  </w:abstractNum>
  <w:abstractNum w:abstractNumId="64">
    <w:nsid w:val="43F18422"/>
    <w:multiLevelType w:val="hybridMultilevel"/>
    <w:lvl w:ilvl="0">
      <w:lvlJc w:val="left"/>
      <w:lvlText w:val="(%1)"/>
      <w:numFmt w:val="lowerLetter"/>
      <w:start w:val="1"/>
    </w:lvl>
    <w:lvl w:ilvl="1">
      <w:lvlJc w:val="left"/>
      <w:lvlText w:val="(%2)"/>
      <w:numFmt w:val="lowerLetter"/>
      <w:start w:val="9"/>
    </w:lvl>
  </w:abstractNum>
  <w:abstractNum w:abstractNumId="65">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6">
    <w:nsid w:val="26F324B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7">
    <w:nsid w:val="7F01579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8">
    <w:nsid w:val="49DA307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9">
    <w:nsid w:val="7055A5F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0">
    <w:nsid w:val="5FB8370B"/>
    <w:multiLevelType w:val="hybridMultilevel"/>
    <w:lvl w:ilvl="0">
      <w:lvlJc w:val="left"/>
      <w:lvlText w:val="%1."/>
      <w:numFmt w:val="decimal"/>
      <w:start w:val="13"/>
    </w:lvl>
    <w:lvl w:ilvl="1">
      <w:lvlJc w:val="left"/>
      <w:lvlText w:val="(%2)"/>
      <w:numFmt w:val="lowerLetter"/>
      <w:start w:val="1"/>
    </w:lvl>
  </w:abstractNum>
  <w:abstractNum w:abstractNumId="71">
    <w:nsid w:val="50801EE1"/>
    <w:multiLevelType w:val="hybridMultilevel"/>
    <w:lvl w:ilvl="0">
      <w:lvlJc w:val="left"/>
      <w:lvlText w:val="%1."/>
      <w:numFmt w:val="decimal"/>
      <w:start w:val="14"/>
    </w:lvl>
  </w:abstractNum>
  <w:abstractNum w:abstractNumId="72">
    <w:nsid w:val="488AC1A"/>
    <w:multiLevelType w:val="hybridMultilevel"/>
    <w:lvl w:ilvl="0">
      <w:lvlJc w:val="left"/>
      <w:lvlText w:val="%1"/>
      <w:numFmt w:val="decimal"/>
      <w:start w:val="1"/>
    </w:lvl>
    <w:lvl w:ilvl="1">
      <w:lvlJc w:val="left"/>
      <w:lvlText w:val="(%2)"/>
      <w:numFmt w:val="lowerLetter"/>
      <w:start w:val="1"/>
    </w:lvl>
  </w:abstractNum>
  <w:abstractNum w:abstractNumId="73">
    <w:nsid w:val="5FB8011C"/>
    <w:multiLevelType w:val="hybridMultilevel"/>
    <w:lvl w:ilvl="0">
      <w:lvlJc w:val="left"/>
      <w:lvlText w:val="%1."/>
      <w:numFmt w:val="decimal"/>
      <w:start w:val="15"/>
    </w:lvl>
    <w:lvl w:ilvl="1">
      <w:lvlJc w:val="left"/>
      <w:lvlText w:val="(%2)"/>
      <w:numFmt w:val="lowerLetter"/>
      <w:start w:val="1"/>
    </w:lvl>
  </w:abstractNum>
  <w:abstractNum w:abstractNumId="74">
    <w:nsid w:val="6AA78F7F"/>
    <w:multiLevelType w:val="hybridMultilevel"/>
    <w:lvl w:ilvl="0">
      <w:lvlJc w:val="left"/>
      <w:lvlText w:val="%1."/>
      <w:numFmt w:val="decimal"/>
      <w:start w:val="18"/>
    </w:lvl>
  </w:abstractNum>
  <w:abstractNum w:abstractNumId="75">
    <w:nsid w:val="7672BD23"/>
    <w:multiLevelType w:val="hybridMultilevel"/>
    <w:lvl w:ilvl="0">
      <w:lvlJc w:val="left"/>
      <w:lvlText w:val="%1."/>
      <w:numFmt w:val="decimal"/>
      <w:start w:val="24"/>
    </w:lvl>
  </w:abstractNum>
  <w:abstractNum w:abstractNumId="76">
    <w:nsid w:val="6FC75AF8"/>
    <w:multiLevelType w:val="hybridMultilevel"/>
    <w:lvl w:ilvl="0">
      <w:lvlJc w:val="left"/>
      <w:lvlText w:val="%1."/>
      <w:numFmt w:val="decimal"/>
      <w:start w:val="1"/>
    </w:lvl>
    <w:lvl w:ilvl="1">
      <w:lvlJc w:val="left"/>
      <w:lvlText w:val="(%2)"/>
      <w:numFmt w:val="lowerLetter"/>
      <w:start w:val="1"/>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decimal"/>
      <w:start w:val="8"/>
    </w:lvl>
  </w:abstractNum>
  <w:abstractNum w:abstractNumId="79">
    <w:nsid w:val="5F3534A4"/>
    <w:multiLevelType w:val="hybridMultilevel"/>
    <w:lvl w:ilvl="0">
      <w:lvlJc w:val="left"/>
      <w:lvlText w:val="(%1)"/>
      <w:numFmt w:val="lowerRoman"/>
      <w:start w:val="1"/>
    </w:lvl>
  </w:abstractNum>
  <w:abstractNum w:abstractNumId="80">
    <w:nsid w:val="73A1821B"/>
    <w:multiLevelType w:val="hybridMultilevel"/>
    <w:lvl w:ilvl="0">
      <w:lvlJc w:val="left"/>
      <w:lvlText w:val="%1."/>
      <w:numFmt w:val="decimal"/>
      <w:start w:val="9"/>
    </w:lvl>
  </w:abstractNum>
  <w:abstractNum w:abstractNumId="81">
    <w:nsid w:val="7DE67713"/>
    <w:multiLevelType w:val="hybridMultilevel"/>
    <w:lvl w:ilvl="0">
      <w:lvlJc w:val="left"/>
      <w:lvlText w:val="%1."/>
      <w:numFmt w:val="decimal"/>
      <w:start w:val="11"/>
    </w:lvl>
  </w:abstractNum>
  <w:abstractNum w:abstractNumId="82">
    <w:nsid w:val="555C55B5"/>
    <w:multiLevelType w:val="hybridMultilevel"/>
    <w:lvl w:ilvl="0">
      <w:lvlJc w:val="left"/>
      <w:lvlText w:val="%1."/>
      <w:numFmt w:val="decimal"/>
      <w:start w:val="15"/>
    </w:lvl>
  </w:abstractNum>
  <w:abstractNum w:abstractNumId="83">
    <w:nsid w:val="3FA62ACA"/>
    <w:multiLevelType w:val="hybridMultilevel"/>
    <w:lvl w:ilvl="0">
      <w:lvlJc w:val="left"/>
      <w:lvlText w:val="%1."/>
      <w:numFmt w:val="decimal"/>
      <w:start w:val="23"/>
    </w:lvl>
  </w:abstractNum>
  <w:abstractNum w:abstractNumId="84">
    <w:nsid w:val="14FCE74E"/>
    <w:multiLevelType w:val="hybridMultilevel"/>
    <w:lvl w:ilvl="0">
      <w:lvlJc w:val="left"/>
      <w:lvlText w:val="(%1)"/>
      <w:numFmt w:val="lowerLetter"/>
      <w:start w:val="1"/>
    </w:lvl>
    <w:lvl w:ilvl="1">
      <w:lvlJc w:val="left"/>
      <w:lvlText w:val="(%2)"/>
      <w:numFmt w:val="lowerRoman"/>
      <w:start w:val="1"/>
    </w:lvl>
  </w:abstractNum>
  <w:abstractNum w:abstractNumId="85">
    <w:nsid w:val="6A3DD3E8"/>
    <w:multiLevelType w:val="hybridMultilevel"/>
    <w:lvl w:ilvl="0">
      <w:lvlJc w:val="left"/>
      <w:lvlText w:val="%1."/>
      <w:numFmt w:val="decimal"/>
      <w:start w:val="25"/>
    </w:lvl>
  </w:abstractNum>
  <w:abstractNum w:abstractNumId="86">
    <w:nsid w:val="71C91298"/>
    <w:multiLevelType w:val="hybridMultilevel"/>
    <w:lvl w:ilvl="0">
      <w:lvlJc w:val="left"/>
      <w:lvlText w:val="%1."/>
      <w:numFmt w:val="decimal"/>
      <w:start w:val="26"/>
    </w:lvl>
  </w:abstractNum>
  <w:abstractNum w:abstractNumId="87">
    <w:nsid w:val="9DAF632"/>
    <w:multiLevelType w:val="hybridMultilevel"/>
    <w:lvl w:ilvl="0">
      <w:lvlJc w:val="left"/>
      <w:lvlText w:val="(%1)"/>
      <w:numFmt w:val="decimal"/>
      <w:start w:val="1"/>
    </w:lvl>
  </w:abstractNum>
  <w:abstractNum w:abstractNumId="88">
    <w:nsid w:val="53299938"/>
    <w:multiLevelType w:val="hybridMultilevel"/>
    <w:lvl w:ilvl="0">
      <w:lvlJc w:val="left"/>
      <w:lvlText w:val="(%1)"/>
      <w:numFmt w:val="decimal"/>
      <w:start w:val="1"/>
    </w:lvl>
  </w:abstractNum>
  <w:abstractNum w:abstractNumId="89">
    <w:nsid w:val="1FBFE8E0"/>
    <w:multiLevelType w:val="hybridMultilevel"/>
    <w:lvl w:ilvl="0">
      <w:lvlJc w:val="left"/>
      <w:lvlText w:val="%1."/>
      <w:numFmt w:val="decimal"/>
      <w:start w:val="1"/>
    </w:lvl>
    <w:lvl w:ilvl="1">
      <w:lvlJc w:val="left"/>
      <w:lvlText w:val="(%2)"/>
      <w:numFmt w:val="lowerLetter"/>
      <w:start w:val="1"/>
    </w:lvl>
  </w:abstractNum>
  <w:abstractNum w:abstractNumId="90">
    <w:nsid w:val="5092CA79"/>
    <w:multiLevelType w:val="hybridMultilevel"/>
    <w:lvl w:ilvl="0">
      <w:lvlJc w:val="left"/>
      <w:lvlText w:val="%1"/>
      <w:numFmt w:val="decimal"/>
      <w:start w:val="1"/>
    </w:lvl>
    <w:lvl w:ilvl="1">
      <w:lvlJc w:val="left"/>
      <w:lvlText w:val="(%2)"/>
      <w:numFmt w:val="decimal"/>
      <w:start w:val="30"/>
    </w:lvl>
  </w:abstractNum>
  <w:abstractNum w:abstractNumId="91">
    <w:nsid w:val="1D545C4D"/>
    <w:multiLevelType w:val="hybridMultilevel"/>
    <w:lvl w:ilvl="0">
      <w:lvlJc w:val="left"/>
      <w:lvlText w:val="%1."/>
      <w:numFmt w:val="decimal"/>
      <w:start w:val="6"/>
    </w:lvl>
    <w:lvl w:ilvl="1">
      <w:lvlJc w:val="left"/>
      <w:lvlText w:val="%2"/>
      <w:numFmt w:val="decimal"/>
      <w:start w:val="1"/>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decimal"/>
      <w:start w:val="8"/>
    </w:lvl>
  </w:abstractNum>
  <w:abstractNum w:abstractNumId="94">
    <w:nsid w:val="2A155DBC"/>
    <w:multiLevelType w:val="hybridMultilevel"/>
    <w:lvl w:ilvl="0">
      <w:lvlJc w:val="left"/>
      <w:lvlText w:val="(%1)"/>
      <w:numFmt w:val="lowerRoman"/>
      <w:start w:val="1"/>
    </w:lvl>
  </w:abstractNum>
  <w:abstractNum w:abstractNumId="95">
    <w:nsid w:val="1D9F6E5F"/>
    <w:multiLevelType w:val="hybridMultilevel"/>
    <w:lvl w:ilvl="0">
      <w:lvlJc w:val="left"/>
      <w:lvlText w:val="%1."/>
      <w:numFmt w:val="decimal"/>
      <w:start w:val="9"/>
    </w:lvl>
  </w:abstractNum>
  <w:abstractNum w:abstractNumId="96">
    <w:nsid w:val="97E1B4E"/>
    <w:multiLevelType w:val="hybridMultilevel"/>
    <w:lvl w:ilvl="0">
      <w:lvlJc w:val="left"/>
      <w:lvlText w:val="%1."/>
      <w:numFmt w:val="decimal"/>
      <w:start w:val="15"/>
    </w:lvl>
  </w:abstractNum>
  <w:abstractNum w:abstractNumId="97">
    <w:nsid w:val="51088277"/>
    <w:multiLevelType w:val="hybridMultilevel"/>
    <w:lvl w:ilvl="0">
      <w:lvlJc w:val="left"/>
      <w:lvlText w:val="(%1)"/>
      <w:numFmt w:val="lowerLetter"/>
      <w:start w:val="1"/>
    </w:lvl>
  </w:abstractNum>
  <w:abstractNum w:abstractNumId="98">
    <w:nsid w:val="1CA0C5FA"/>
    <w:multiLevelType w:val="hybridMultilevel"/>
    <w:lvl w:ilvl="0">
      <w:lvlJc w:val="left"/>
      <w:lvlText w:val="(%1)"/>
      <w:numFmt w:val="lowerLetter"/>
      <w:start w:val="8"/>
    </w:lvl>
    <w:lvl w:ilvl="1">
      <w:lvlJc w:val="left"/>
      <w:lvlText w:val="(%2)"/>
      <w:numFmt w:val="lowerRoman"/>
      <w:start w:val="1"/>
    </w:lvl>
  </w:abstractNum>
  <w:abstractNum w:abstractNumId="99">
    <w:nsid w:val="53584BCB"/>
    <w:multiLevelType w:val="hybridMultilevel"/>
    <w:lvl w:ilvl="0">
      <w:lvlJc w:val="left"/>
      <w:lvlText w:val="%1."/>
      <w:numFmt w:val="decimal"/>
      <w:start w:val="25"/>
    </w:lvl>
  </w:abstractNum>
  <w:abstractNum w:abstractNumId="100">
    <w:nsid w:val="415E286C"/>
    <w:multiLevelType w:val="hybridMultilevel"/>
    <w:lvl w:ilvl="0">
      <w:lvlJc w:val="left"/>
      <w:lvlText w:val="%1."/>
      <w:numFmt w:val="decimal"/>
      <w:start w:val="26"/>
    </w:lvl>
  </w:abstractNum>
  <w:abstractNum w:abstractNumId="101">
    <w:nsid w:val="7C58FD05"/>
    <w:multiLevelType w:val="hybridMultilevel"/>
    <w:lvl w:ilvl="0">
      <w:lvlJc w:val="left"/>
      <w:lvlText w:val="%1."/>
      <w:numFmt w:val="decimal"/>
      <w:start w:val="27"/>
    </w:lvl>
  </w:abstractNum>
  <w:abstractNum w:abstractNumId="102">
    <w:nsid w:val="23D86AAC"/>
    <w:multiLevelType w:val="hybridMultilevel"/>
    <w:lvl w:ilvl="0">
      <w:lvlJc w:val="left"/>
      <w:lvlText w:val="(%1)"/>
      <w:numFmt w:val="decimal"/>
      <w:start w:val="1"/>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decimal"/>
      <w:start w:val="1"/>
    </w:lvl>
  </w:abstractNum>
  <w:abstractNum w:abstractNumId="105">
    <w:nsid w:val="E7FFA2B"/>
    <w:multiLevelType w:val="hybridMultilevel"/>
    <w:lvl w:ilvl="0">
      <w:lvlJc w:val="left"/>
      <w:lvlText w:val="*"/>
      <w:numFmt w:val="bullet"/>
      <w:start w:val="1"/>
    </w:lvl>
  </w:abstractNum>
  <w:abstractNum w:abstractNumId="106">
    <w:nsid w:val="3C5991AA"/>
    <w:multiLevelType w:val="hybridMultilevel"/>
    <w:lvl w:ilvl="0">
      <w:lvlJc w:val="left"/>
      <w:lvlText w:val="%1."/>
      <w:numFmt w:val="decimal"/>
      <w:start w:val="1"/>
    </w:lvl>
  </w:abstractNum>
  <w:abstractNum w:abstractNumId="107">
    <w:nsid w:val="4BD8591A"/>
    <w:multiLevelType w:val="hybridMultilevel"/>
    <w:lvl w:ilvl="0">
      <w:lvlJc w:val="left"/>
      <w:lvlText w:val="%1."/>
      <w:numFmt w:val="decimal"/>
      <w:start w:val="6"/>
    </w:lvl>
  </w:abstractNum>
  <w:abstractNum w:abstractNumId="108">
    <w:nsid w:val="78DF6A55"/>
    <w:multiLevelType w:val="hybridMultilevel"/>
    <w:lvl w:ilvl="0">
      <w:lvlJc w:val="left"/>
      <w:lvlText w:val="%1."/>
      <w:numFmt w:val="decimal"/>
      <w:start w:val="9"/>
    </w:lvl>
  </w:abstractNum>
  <w:abstractNum w:abstractNumId="109">
    <w:nsid w:val="39B7AAA2"/>
    <w:multiLevelType w:val="hybridMultilevel"/>
    <w:lvl w:ilvl="0">
      <w:lvlJc w:val="left"/>
      <w:lvlText w:val="%1."/>
      <w:numFmt w:val="decimal"/>
      <w:start w:val="1"/>
    </w:lvl>
  </w:abstractNum>
  <w:abstractNum w:abstractNumId="110">
    <w:nsid w:val="2B0D8DBE"/>
    <w:multiLevelType w:val="hybridMultilevel"/>
    <w:lvl w:ilvl="0">
      <w:lvlJc w:val="left"/>
      <w:lvlText w:val="%1."/>
      <w:numFmt w:val="decimal"/>
      <w:start w:val="4"/>
    </w:lvl>
    <w:lvl w:ilvl="1">
      <w:lvlJc w:val="left"/>
      <w:lvlText w:val="(%2)"/>
      <w:numFmt w:val="lowerLetter"/>
      <w:start w:val="1"/>
    </w:lvl>
  </w:abstractNum>
  <w:abstractNum w:abstractNumId="111">
    <w:nsid w:val="6C80EC70"/>
    <w:multiLevelType w:val="hybridMultilevel"/>
    <w:lvl w:ilvl="0">
      <w:lvlJc w:val="left"/>
      <w:lvlText w:val="%1"/>
      <w:numFmt w:val="decimal"/>
      <w:start w:val="1"/>
    </w:lvl>
    <w:lvl w:ilvl="1">
      <w:lvlJc w:val="left"/>
      <w:lvlText w:val="(%2)"/>
      <w:numFmt w:val="lowerLetter"/>
      <w:start w:val="4"/>
    </w:lvl>
  </w:abstractNum>
  <w:abstractNum w:abstractNumId="112">
    <w:nsid w:val="379E21B5"/>
    <w:multiLevelType w:val="hybridMultilevel"/>
    <w:lvl w:ilvl="0">
      <w:lvlJc w:val="left"/>
      <w:lvlText w:val="%1."/>
      <w:numFmt w:val="decimal"/>
      <w:start w:val="5"/>
    </w:lvl>
    <w:lvl w:ilvl="1">
      <w:lvlJc w:val="left"/>
      <w:lvlText w:val="%2"/>
      <w:numFmt w:val="lowerLetter"/>
      <w:start w:val="1"/>
    </w:lvl>
  </w:abstractNum>
  <w:abstractNum w:abstractNumId="113">
    <w:nsid w:val="69E373"/>
    <w:multiLevelType w:val="hybridMultilevel"/>
    <w:lvl w:ilvl="0">
      <w:lvlJc w:val="left"/>
      <w:lvlText w:val="%1."/>
      <w:numFmt w:val="decimal"/>
      <w:start w:val="6"/>
    </w:lvl>
  </w:abstractNum>
  <w:abstractNum w:abstractNumId="114">
    <w:nsid w:val="2C27173B"/>
    <w:multiLevelType w:val="hybridMultilevel"/>
    <w:lvl w:ilvl="0">
      <w:lvlJc w:val="left"/>
      <w:lvlText w:val="%1."/>
      <w:numFmt w:val="decimal"/>
      <w:start w:val="8"/>
    </w:lvl>
  </w:abstractNum>
  <w:abstractNum w:abstractNumId="115">
    <w:nsid w:val="4C9B0904"/>
    <w:multiLevelType w:val="hybridMultilevel"/>
    <w:lvl w:ilvl="0">
      <w:lvlJc w:val="left"/>
      <w:lvlText w:val="%1."/>
      <w:numFmt w:val="decimal"/>
      <w:start w:val="10"/>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lowerRoman"/>
      <w:start w:val="2"/>
    </w:lvl>
  </w:abstractNum>
  <w:abstractNum w:abstractNumId="119">
    <w:nsid w:val="3DD15094"/>
    <w:multiLevelType w:val="hybridMultilevel"/>
    <w:lvl w:ilvl="0">
      <w:lvlJc w:val="left"/>
      <w:lvlText w:val="(%1)"/>
      <w:numFmt w:val="lowerRoman"/>
      <w:start w:val="1"/>
    </w:lvl>
  </w:abstractNum>
  <w:abstractNum w:abstractNumId="120">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1">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2019-12-29T09:23:51Z</dcterms:created>
  <dcterms:modified xsi:type="dcterms:W3CDTF">2019-12-29T09:23:51Z</dcterms:modified>
</cp:coreProperties>
</file>