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462915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ind w:left="4000"/>
        <w:spacing w:after="0" w:line="236" w:lineRule="auto"/>
        <w:rPr>
          <w:sz w:val="20"/>
          <w:szCs w:val="20"/>
          <w:color w:val="auto"/>
        </w:rPr>
      </w:pPr>
      <w:r>
        <w:rPr>
          <w:rFonts w:ascii="Arial" w:cs="Arial" w:eastAsia="Arial" w:hAnsi="Arial"/>
          <w:sz w:val="11"/>
          <w:szCs w:val="11"/>
          <w:b w:val="1"/>
          <w:bCs w:val="1"/>
          <w:color w:val="auto"/>
        </w:rPr>
        <w:t>_____________________________________________________________</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02" w:lineRule="exact"/>
        <w:rPr>
          <w:sz w:val="24"/>
          <w:szCs w:val="24"/>
          <w:color w:val="auto"/>
        </w:rPr>
      </w:pPr>
    </w:p>
    <w:p>
      <w:pPr>
        <w:ind w:left="660" w:hanging="424"/>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2"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January 31, 2021</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6" w:lineRule="exact"/>
        <w:rPr>
          <w:sz w:val="24"/>
          <w:szCs w:val="24"/>
          <w:color w:val="auto"/>
        </w:rPr>
      </w:pPr>
    </w:p>
    <w:p>
      <w:pPr>
        <w:ind w:left="660" w:right="240" w:hanging="430"/>
        <w:spacing w:after="0" w:line="242" w:lineRule="auto"/>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ectPr>
          <w:pgSz w:w="11900" w:h="16838" w:orient="portrait"/>
          <w:cols w:equalWidth="0" w:num="1">
            <w:col w:w="11200"/>
          </w:cols>
          <w:pgMar w:left="320" w:top="233" w:right="379" w:bottom="1440" w:gutter="0" w:footer="0" w:header="0"/>
        </w:sectPr>
      </w:pPr>
    </w:p>
    <w:p>
      <w:pPr>
        <w:spacing w:after="0" w:line="76" w:lineRule="exact"/>
        <w:rPr>
          <w:sz w:val="24"/>
          <w:szCs w:val="24"/>
          <w:color w:val="auto"/>
        </w:rPr>
      </w:pPr>
    </w:p>
    <w:p>
      <w:pPr>
        <w:jc w:val="cente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45" w:lineRule="exact"/>
        <w:rPr>
          <w:sz w:val="24"/>
          <w:szCs w:val="24"/>
          <w:color w:val="auto"/>
        </w:rPr>
      </w:pPr>
    </w:p>
    <w:p>
      <w:pPr>
        <w:sectPr>
          <w:pgSz w:w="11900" w:h="16838" w:orient="portrait"/>
          <w:cols w:equalWidth="0" w:num="2">
            <w:col w:w="2840" w:space="600"/>
            <w:col w:w="7760"/>
          </w:cols>
          <w:pgMar w:left="320" w:top="233"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0-14338</w:t>
      </w:r>
    </w:p>
    <w:p>
      <w:pPr>
        <w:spacing w:after="0" w:line="3" w:lineRule="exact"/>
        <w:rPr>
          <w:sz w:val="24"/>
          <w:szCs w:val="24"/>
          <w:color w:val="auto"/>
        </w:rPr>
      </w:pPr>
    </w:p>
    <w:p>
      <w:pPr>
        <w:ind w:left="3980"/>
        <w:spacing w:after="0"/>
        <w:rPr>
          <w:sz w:val="20"/>
          <w:szCs w:val="20"/>
          <w:color w:val="auto"/>
        </w:rPr>
      </w:pPr>
      <w:r>
        <w:rPr>
          <w:rFonts w:ascii="Arial" w:cs="Arial" w:eastAsia="Arial" w:hAnsi="Arial"/>
          <w:sz w:val="9"/>
          <w:szCs w:val="9"/>
          <w:b w:val="1"/>
          <w:bCs w:val="1"/>
          <w:color w:val="auto"/>
        </w:rPr>
        <w:t>_____________________________________________________________</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AUTODESK, INC.</w:t>
      </w: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00"/>
          </w:cols>
          <w:pgMar w:left="320" w:top="233" w:right="379" w:bottom="1440" w:gutter="0" w:footer="0" w:header="0"/>
          <w:type w:val="continuous"/>
        </w:sectPr>
      </w:pPr>
    </w:p>
    <w:p>
      <w:pPr>
        <w:spacing w:after="0" w:line="48"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94-2819853</w:t>
      </w:r>
    </w:p>
    <w:p>
      <w:pPr>
        <w:spacing w:after="0" w:line="23" w:lineRule="exact"/>
        <w:rPr>
          <w:sz w:val="24"/>
          <w:szCs w:val="24"/>
          <w:color w:val="auto"/>
        </w:rPr>
      </w:pPr>
    </w:p>
    <w:p>
      <w:pPr>
        <w:sectPr>
          <w:pgSz w:w="11900" w:h="16838" w:orient="portrait"/>
          <w:cols w:equalWidth="0" w:num="2">
            <w:col w:w="7340" w:space="720"/>
            <w:col w:w="3140"/>
          </w:cols>
          <w:pgMar w:left="320" w:top="233" w:right="379" w:bottom="1440" w:gutter="0" w:footer="0" w:header="0"/>
          <w:type w:val="continuous"/>
        </w:sectPr>
      </w:pPr>
    </w:p>
    <w:p>
      <w:pPr>
        <w:jc w:val="center"/>
        <w:ind w:right="2900"/>
        <w:spacing w:after="0"/>
        <w:rPr>
          <w:sz w:val="20"/>
          <w:szCs w:val="20"/>
          <w:color w:val="auto"/>
        </w:rPr>
      </w:pPr>
      <w:r>
        <w:rPr>
          <w:rFonts w:ascii="Arial" w:cs="Arial" w:eastAsia="Arial" w:hAnsi="Arial"/>
          <w:sz w:val="14"/>
          <w:szCs w:val="14"/>
          <w:b w:val="1"/>
          <w:bCs w:val="1"/>
          <w:color w:val="auto"/>
        </w:rPr>
        <w:t>(State or other jurisdiction</w:t>
      </w:r>
    </w:p>
    <w:p>
      <w:pPr>
        <w:jc w:val="center"/>
        <w:ind w:right="29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b w:val="1"/>
          <w:bCs w:val="1"/>
          <w:color w:val="auto"/>
        </w:rPr>
        <w:t>(I.R.S. employer</w:t>
      </w:r>
    </w:p>
    <w:p>
      <w:pPr>
        <w:jc w:val="center"/>
        <w:ind w:right="2160"/>
        <w:spacing w:after="0"/>
        <w:rPr>
          <w:sz w:val="20"/>
          <w:szCs w:val="20"/>
          <w:color w:val="auto"/>
        </w:rPr>
      </w:pPr>
      <w:r>
        <w:rPr>
          <w:rFonts w:ascii="Arial" w:cs="Arial" w:eastAsia="Arial" w:hAnsi="Arial"/>
          <w:sz w:val="13"/>
          <w:szCs w:val="13"/>
          <w:b w:val="1"/>
          <w:bCs w:val="1"/>
          <w:color w:val="auto"/>
        </w:rPr>
        <w:t>Identification No.)</w:t>
      </w:r>
    </w:p>
    <w:p>
      <w:pPr>
        <w:spacing w:after="0" w:line="76" w:lineRule="exact"/>
        <w:rPr>
          <w:sz w:val="24"/>
          <w:szCs w:val="24"/>
          <w:color w:val="auto"/>
        </w:rPr>
      </w:pPr>
    </w:p>
    <w:p>
      <w:pPr>
        <w:sectPr>
          <w:pgSz w:w="11900" w:h="16838" w:orient="portrait"/>
          <w:cols w:equalWidth="0" w:num="2">
            <w:col w:w="7220" w:space="720"/>
            <w:col w:w="3260"/>
          </w:cols>
          <w:pgMar w:left="320" w:top="233" w:right="379" w:bottom="1440" w:gutter="0" w:footer="0" w:header="0"/>
          <w:type w:val="continuous"/>
        </w:sectPr>
      </w:pPr>
    </w:p>
    <w:p>
      <w:pPr>
        <w:ind w:left="1320"/>
        <w:spacing w:after="0"/>
        <w:rPr>
          <w:sz w:val="20"/>
          <w:szCs w:val="20"/>
          <w:color w:val="auto"/>
        </w:rPr>
      </w:pPr>
      <w:r>
        <w:rPr>
          <w:rFonts w:ascii="Arial" w:cs="Arial" w:eastAsia="Arial" w:hAnsi="Arial"/>
          <w:sz w:val="16"/>
          <w:szCs w:val="16"/>
          <w:b w:val="1"/>
          <w:bCs w:val="1"/>
          <w:color w:val="auto"/>
        </w:rPr>
        <w:t>111 McInnis Parkway,</w:t>
      </w:r>
    </w:p>
    <w:p>
      <w:pPr>
        <w:sectPr>
          <w:pgSz w:w="11900" w:h="16838" w:orient="portrait"/>
          <w:cols w:equalWidth="0" w:num="1">
            <w:col w:w="11200"/>
          </w:cols>
          <w:pgMar w:left="320" w:top="233" w:right="379" w:bottom="1440" w:gutter="0" w:footer="0" w:header="0"/>
          <w:type w:val="continuous"/>
        </w:sectPr>
      </w:pPr>
    </w:p>
    <w:p>
      <w:pPr>
        <w:spacing w:after="0" w:line="45" w:lineRule="exact"/>
        <w:rPr>
          <w:sz w:val="24"/>
          <w:szCs w:val="24"/>
          <w:color w:val="auto"/>
        </w:rPr>
      </w:pPr>
    </w:p>
    <w:p>
      <w:pPr>
        <w:ind w:left="1740"/>
        <w:spacing w:after="0"/>
        <w:rPr>
          <w:sz w:val="20"/>
          <w:szCs w:val="20"/>
          <w:color w:val="auto"/>
        </w:rPr>
      </w:pPr>
      <w:r>
        <w:rPr>
          <w:rFonts w:ascii="Arial" w:cs="Arial" w:eastAsia="Arial" w:hAnsi="Arial"/>
          <w:sz w:val="15"/>
          <w:szCs w:val="15"/>
          <w:b w:val="1"/>
          <w:bCs w:val="1"/>
          <w:color w:val="auto"/>
        </w:rPr>
        <w:t>San Rafael,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94903</w:t>
      </w:r>
    </w:p>
    <w:p>
      <w:pPr>
        <w:spacing w:after="0" w:line="51" w:lineRule="exact"/>
        <w:rPr>
          <w:sz w:val="24"/>
          <w:szCs w:val="24"/>
          <w:color w:val="auto"/>
        </w:rPr>
      </w:pPr>
    </w:p>
    <w:p>
      <w:pPr>
        <w:sectPr>
          <w:pgSz w:w="11900" w:h="16838" w:orient="portrait"/>
          <w:cols w:equalWidth="0" w:num="3">
            <w:col w:w="3800" w:space="720"/>
            <w:col w:w="3020" w:space="720"/>
            <w:col w:w="2940"/>
          </w:cols>
          <w:pgMar w:left="320" w:top="233" w:right="37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0" w:lineRule="exact"/>
        <w:rPr>
          <w:sz w:val="24"/>
          <w:szCs w:val="24"/>
          <w:color w:val="auto"/>
        </w:rPr>
      </w:pPr>
    </w:p>
    <w:p>
      <w:pPr>
        <w:sectPr>
          <w:pgSz w:w="11900" w:h="16838" w:orient="portrait"/>
          <w:cols w:equalWidth="0" w:num="2">
            <w:col w:w="7440" w:space="720"/>
            <w:col w:w="3040"/>
          </w:cols>
          <w:pgMar w:left="320" w:top="233"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18" w:lineRule="exact"/>
        <w:rPr>
          <w:sz w:val="24"/>
          <w:szCs w:val="24"/>
          <w:color w:val="auto"/>
        </w:rPr>
      </w:pPr>
    </w:p>
    <w:p>
      <w:pPr>
        <w:ind w:left="402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90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85"/>
              </w:rPr>
              <w:t>Title of each class</w:t>
            </w:r>
          </w:p>
        </w:tc>
        <w:tc>
          <w:tcPr>
            <w:tcW w:w="940" w:type="dxa"/>
            <w:vAlign w:val="bottom"/>
          </w:tcPr>
          <w:p>
            <w:pPr>
              <w:spacing w:after="0"/>
              <w:rPr>
                <w:sz w:val="18"/>
                <w:szCs w:val="18"/>
                <w:color w:val="auto"/>
              </w:rPr>
            </w:pPr>
          </w:p>
        </w:tc>
        <w:tc>
          <w:tcPr>
            <w:tcW w:w="2060" w:type="dxa"/>
            <w:vAlign w:val="bottom"/>
            <w:gridSpan w:val="2"/>
            <w:vMerge w:val="restart"/>
          </w:tcPr>
          <w:p>
            <w:pPr>
              <w:jc w:val="center"/>
              <w:ind w:right="660"/>
              <w:spacing w:after="0"/>
              <w:rPr>
                <w:sz w:val="20"/>
                <w:szCs w:val="20"/>
                <w:color w:val="auto"/>
              </w:rPr>
            </w:pPr>
            <w:r>
              <w:rPr>
                <w:rFonts w:ascii="Arial" w:cs="Arial" w:eastAsia="Arial" w:hAnsi="Arial"/>
                <w:sz w:val="18"/>
                <w:szCs w:val="18"/>
                <w:b w:val="1"/>
                <w:bCs w:val="1"/>
                <w:color w:val="auto"/>
                <w:w w:val="88"/>
              </w:rPr>
              <w:t>Trading Symbol(s)</w:t>
            </w:r>
          </w:p>
        </w:tc>
        <w:tc>
          <w:tcPr>
            <w:tcW w:w="640" w:type="dxa"/>
            <w:vAlign w:val="bottom"/>
          </w:tcPr>
          <w:p>
            <w:pPr>
              <w:spacing w:after="0"/>
              <w:rPr>
                <w:sz w:val="18"/>
                <w:szCs w:val="18"/>
                <w:color w:val="auto"/>
              </w:rPr>
            </w:pPr>
          </w:p>
        </w:tc>
        <w:tc>
          <w:tcPr>
            <w:tcW w:w="21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4"/>
              </w:rPr>
              <w:t>Name of each exchange</w:t>
            </w:r>
          </w:p>
        </w:tc>
        <w:tc>
          <w:tcPr>
            <w:tcW w:w="0" w:type="dxa"/>
            <w:vAlign w:val="bottom"/>
          </w:tcPr>
          <w:p>
            <w:pPr>
              <w:spacing w:after="0"/>
              <w:rPr>
                <w:sz w:val="1"/>
                <w:szCs w:val="1"/>
                <w:color w:val="auto"/>
              </w:rPr>
            </w:pPr>
          </w:p>
        </w:tc>
      </w:tr>
      <w:tr>
        <w:trPr>
          <w:trHeight w:val="151"/>
        </w:trPr>
        <w:tc>
          <w:tcPr>
            <w:tcW w:w="176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140"/>
              <w:spacing w:after="0" w:line="152" w:lineRule="exact"/>
              <w:rPr>
                <w:sz w:val="20"/>
                <w:szCs w:val="20"/>
                <w:color w:val="auto"/>
              </w:rPr>
            </w:pPr>
            <w:r>
              <w:rPr>
                <w:rFonts w:ascii="Arial" w:cs="Arial" w:eastAsia="Arial" w:hAnsi="Arial"/>
                <w:sz w:val="16"/>
                <w:szCs w:val="16"/>
                <w:b w:val="1"/>
                <w:bCs w:val="1"/>
                <w:color w:val="auto"/>
                <w:w w:val="96"/>
              </w:rPr>
              <w:t>on which registered</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gridSpan w:val="3"/>
          </w:tcPr>
          <w:p>
            <w:pPr>
              <w:jc w:val="center"/>
              <w:ind w:left="1101"/>
              <w:spacing w:after="0"/>
              <w:rPr>
                <w:sz w:val="20"/>
                <w:szCs w:val="20"/>
                <w:color w:val="auto"/>
              </w:rPr>
            </w:pPr>
            <w:r>
              <w:rPr>
                <w:rFonts w:ascii="Arial" w:cs="Arial" w:eastAsia="Arial" w:hAnsi="Arial"/>
                <w:sz w:val="18"/>
                <w:szCs w:val="18"/>
                <w:b w:val="1"/>
                <w:bCs w:val="1"/>
                <w:color w:val="auto"/>
                <w:w w:val="88"/>
              </w:rPr>
              <w:t>Common Stock, $0.01 Par Value</w:t>
            </w:r>
          </w:p>
        </w:tc>
        <w:tc>
          <w:tcPr>
            <w:tcW w:w="940" w:type="dxa"/>
            <w:vAlign w:val="bottom"/>
          </w:tcPr>
          <w:p>
            <w:pPr>
              <w:spacing w:after="0"/>
              <w:rPr>
                <w:sz w:val="21"/>
                <w:szCs w:val="21"/>
                <w:color w:val="auto"/>
              </w:rPr>
            </w:pPr>
          </w:p>
        </w:tc>
        <w:tc>
          <w:tcPr>
            <w:tcW w:w="2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7"/>
              </w:rPr>
              <w:t>ADSK</w:t>
            </w:r>
          </w:p>
        </w:tc>
        <w:tc>
          <w:tcPr>
            <w:tcW w:w="2780" w:type="dxa"/>
            <w:vAlign w:val="bottom"/>
            <w:gridSpan w:val="5"/>
          </w:tcPr>
          <w:p>
            <w:pPr>
              <w:jc w:val="center"/>
              <w:ind w:left="161"/>
              <w:spacing w:after="0"/>
              <w:rPr>
                <w:sz w:val="20"/>
                <w:szCs w:val="20"/>
                <w:color w:val="auto"/>
              </w:rPr>
            </w:pPr>
            <w:r>
              <w:rPr>
                <w:rFonts w:ascii="Arial" w:cs="Arial" w:eastAsia="Arial" w:hAnsi="Arial"/>
                <w:sz w:val="18"/>
                <w:szCs w:val="18"/>
                <w:b w:val="1"/>
                <w:bCs w:val="1"/>
                <w:color w:val="auto"/>
                <w:w w:val="89"/>
              </w:rPr>
              <w:t>The Nasdaq Global Select Market</w:t>
            </w:r>
          </w:p>
        </w:tc>
        <w:tc>
          <w:tcPr>
            <w:tcW w:w="0" w:type="dxa"/>
            <w:vAlign w:val="bottom"/>
          </w:tcPr>
          <w:p>
            <w:pPr>
              <w:spacing w:after="0"/>
              <w:rPr>
                <w:sz w:val="1"/>
                <w:szCs w:val="1"/>
                <w:color w:val="auto"/>
              </w:rPr>
            </w:pPr>
          </w:p>
        </w:tc>
      </w:tr>
      <w:tr>
        <w:trPr>
          <w:trHeight w:val="317"/>
        </w:trPr>
        <w:tc>
          <w:tcPr>
            <w:tcW w:w="1760" w:type="dxa"/>
            <w:vAlign w:val="bottom"/>
          </w:tcPr>
          <w:p>
            <w:pPr>
              <w:spacing w:after="0"/>
              <w:rPr>
                <w:sz w:val="24"/>
                <w:szCs w:val="24"/>
                <w:color w:val="auto"/>
              </w:rPr>
            </w:pPr>
          </w:p>
        </w:tc>
        <w:tc>
          <w:tcPr>
            <w:tcW w:w="7680" w:type="dxa"/>
            <w:vAlign w:val="bottom"/>
            <w:gridSpan w:val="10"/>
          </w:tcPr>
          <w:p>
            <w:pPr>
              <w:jc w:val="center"/>
              <w:ind w:right="600"/>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40" w:type="dxa"/>
            <w:vAlign w:val="bottom"/>
            <w:gridSpan w:val="4"/>
          </w:tcPr>
          <w:p>
            <w:pPr>
              <w:jc w:val="center"/>
              <w:ind w:right="301"/>
              <w:spacing w:after="0" w:line="106" w:lineRule="exact"/>
              <w:rPr>
                <w:sz w:val="20"/>
                <w:szCs w:val="20"/>
                <w:color w:val="auto"/>
              </w:rPr>
            </w:pPr>
            <w:r>
              <w:rPr>
                <w:rFonts w:ascii="Arial" w:cs="Arial" w:eastAsia="Arial" w:hAnsi="Arial"/>
                <w:sz w:val="11"/>
                <w:szCs w:val="11"/>
                <w:b w:val="1"/>
                <w:bCs w:val="1"/>
                <w:color w:val="auto"/>
                <w:w w:val="86"/>
              </w:rPr>
              <w:t>_____________________________________________________________</w:t>
            </w: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6660" w:type="dxa"/>
            <w:vAlign w:val="bottom"/>
            <w:gridSpan w:val="6"/>
          </w:tcPr>
          <w:p>
            <w:pPr>
              <w:spacing w:after="0"/>
              <w:rPr>
                <w:sz w:val="20"/>
                <w:szCs w:val="20"/>
                <w:color w:val="auto"/>
              </w:rPr>
            </w:pPr>
            <w:r>
              <w:rPr>
                <w:rFonts w:ascii="Arial" w:cs="Arial" w:eastAsia="Arial" w:hAnsi="Arial"/>
                <w:sz w:val="14"/>
                <w:szCs w:val="14"/>
                <w:color w:val="auto"/>
                <w:w w:val="91"/>
              </w:rPr>
              <w:t>Indicate by check mark if the registrant is a well-known seasoned issuer, as defined in Rule 405 of the Securities Act.</w:t>
            </w:r>
          </w:p>
        </w:tc>
        <w:tc>
          <w:tcPr>
            <w:tcW w:w="2780" w:type="dxa"/>
            <w:vAlign w:val="bottom"/>
            <w:gridSpan w:val="5"/>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320" w:right="60"/>
        <w:spacing w:after="0" w:line="16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(1) has filed all reports required to be filed by Section 13 or 15(d) of the Exchange Act during the preceding 12 months (or for such shorter period</w:t>
      </w:r>
    </w:p>
    <w:p>
      <w:pPr>
        <w:spacing w:after="0" w:line="1" w:lineRule="exact"/>
        <w:rPr>
          <w:sz w:val="24"/>
          <w:szCs w:val="24"/>
          <w:color w:val="auto"/>
        </w:rPr>
      </w:pPr>
    </w:p>
    <w:p>
      <w:pPr>
        <w:spacing w:after="0" w:line="161" w:lineRule="exact"/>
        <w:tabs>
          <w:tab w:leader="none" w:pos="7140" w:val="left"/>
          <w:tab w:leader="none" w:pos="7680" w:val="left"/>
          <w:tab w:leader="none" w:pos="800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w:t>
      </w:r>
    </w:p>
    <w:p>
      <w:pPr>
        <w:spacing w:after="0" w:line="28" w:lineRule="exact"/>
        <w:rPr>
          <w:sz w:val="24"/>
          <w:szCs w:val="24"/>
          <w:color w:val="auto"/>
        </w:rPr>
      </w:pPr>
    </w:p>
    <w:p>
      <w:pPr>
        <w:spacing w:after="0" w:line="161" w:lineRule="exact"/>
        <w:tabs>
          <w:tab w:leader="none" w:pos="6920" w:val="left"/>
          <w:tab w:leader="none" w:pos="7700" w:val="left"/>
        </w:tabs>
        <w:rPr>
          <w:sz w:val="20"/>
          <w:szCs w:val="20"/>
          <w:color w:val="auto"/>
        </w:rPr>
      </w:pPr>
      <w:r>
        <w:rPr>
          <w:rFonts w:ascii="Arial" w:cs="Arial" w:eastAsia="Arial" w:hAnsi="Arial"/>
          <w:sz w:val="14"/>
          <w:szCs w:val="14"/>
          <w:color w:val="auto"/>
        </w:rPr>
        <w:t>during the preceding 12 months (or for such shorter period that the registrant was required to submit and post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p>
      <w:pPr>
        <w:sectPr>
          <w:pgSz w:w="11900" w:h="16838" w:orient="portrait"/>
          <w:cols w:equalWidth="0" w:num="1">
            <w:col w:w="11200"/>
          </w:cols>
          <w:pgMar w:left="320" w:top="233" w:right="379" w:bottom="1440" w:gutter="0" w:footer="0" w:header="0"/>
          <w:type w:val="continuous"/>
        </w:sectPr>
      </w:pPr>
    </w:p>
    <w:p>
      <w:pPr>
        <w:spacing w:after="0" w:line="25" w:lineRule="exact"/>
        <w:rPr>
          <w:sz w:val="24"/>
          <w:szCs w:val="24"/>
          <w:color w:val="auto"/>
        </w:rPr>
      </w:pPr>
    </w:p>
    <w:p>
      <w:pPr>
        <w:jc w:val="center"/>
        <w:ind w:left="40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jc w:val="center"/>
        <w:spacing w:after="0" w:line="114"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jc w:val="center"/>
        <w:spacing w:after="0" w:line="114"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10">
            <w:col w:w="1660" w:space="360"/>
            <w:col w:w="80" w:space="520"/>
            <w:col w:w="940" w:space="420"/>
            <w:col w:w="120" w:space="420"/>
            <w:col w:w="1200" w:space="400"/>
            <w:col w:w="120" w:space="380"/>
            <w:col w:w="1540" w:space="360"/>
            <w:col w:w="140" w:space="440"/>
            <w:col w:w="1540" w:space="420"/>
            <w:col w:w="140"/>
          </w:cols>
          <w:pgMar w:left="320" w:top="233" w:right="379" w:bottom="1440" w:gutter="0" w:footer="0" w:header="0"/>
          <w:type w:val="continuous"/>
        </w:sectPr>
      </w:pPr>
    </w:p>
    <w:p>
      <w:pPr>
        <w:ind w:left="320"/>
        <w:spacing w:after="0"/>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w:t>
      </w:r>
    </w:p>
    <w:p>
      <w:pPr>
        <w:spacing w:after="0" w:line="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w:t>
      </w:r>
    </w:p>
    <w:p>
      <w:pPr>
        <w:spacing w:after="0" w:line="28" w:lineRule="exact"/>
        <w:rPr>
          <w:sz w:val="24"/>
          <w:szCs w:val="24"/>
          <w:color w:val="auto"/>
        </w:rPr>
      </w:pPr>
    </w:p>
    <w:p>
      <w:pPr>
        <w:jc w:val="center"/>
        <w:ind w:right="3020"/>
        <w:spacing w:after="0" w:line="138" w:lineRule="exact"/>
        <w:rPr>
          <w:sz w:val="20"/>
          <w:szCs w:val="20"/>
          <w:color w:val="auto"/>
        </w:rPr>
      </w:pPr>
      <w:r>
        <w:rPr>
          <w:rFonts w:ascii="Arial" w:cs="Arial" w:eastAsia="Arial" w:hAnsi="Arial"/>
          <w:sz w:val="12"/>
          <w:szCs w:val="12"/>
          <w:color w:val="auto"/>
        </w:rPr>
        <w:t xml:space="preserve">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3" w:lineRule="exact"/>
        <w:rPr>
          <w:sz w:val="24"/>
          <w:szCs w:val="24"/>
          <w:color w:val="auto"/>
        </w:rPr>
      </w:pPr>
    </w:p>
    <w:p>
      <w:pPr>
        <w:jc w:val="center"/>
        <w:ind w:right="2980"/>
        <w:spacing w:after="0" w:line="161" w:lineRule="exact"/>
        <w:tabs>
          <w:tab w:leader="none" w:pos="120" w:val="left"/>
          <w:tab w:leader="none" w:pos="120" w:val="left"/>
          <w:tab w:leader="none" w:pos="16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200"/>
          </w:cols>
          <w:pgMar w:left="320" w:top="233" w:right="379" w:bottom="1440" w:gutter="0" w:footer="0" w:header="0"/>
          <w:type w:val="continuous"/>
        </w:sectPr>
      </w:pPr>
    </w:p>
    <w:p>
      <w:pPr>
        <w:spacing w:after="0" w:line="27" w:lineRule="exact"/>
        <w:rPr>
          <w:sz w:val="24"/>
          <w:szCs w:val="24"/>
          <w:color w:val="auto"/>
        </w:rPr>
      </w:pPr>
    </w:p>
    <w:p>
      <w:pPr>
        <w:ind w:right="40" w:firstLine="316"/>
        <w:spacing w:after="0" w:line="244" w:lineRule="auto"/>
        <w:rPr>
          <w:sz w:val="20"/>
          <w:szCs w:val="20"/>
          <w:color w:val="auto"/>
        </w:rPr>
      </w:pPr>
      <w:r>
        <w:rPr>
          <w:rFonts w:ascii="Arial" w:cs="Arial" w:eastAsia="Arial" w:hAnsi="Arial"/>
          <w:sz w:val="13"/>
          <w:szCs w:val="13"/>
          <w:color w:val="auto"/>
        </w:rPr>
        <w:t>As of July 31, 2020, the last business day of the registrant’s most recently completed second fiscal quarter, there were approximately 219.0 million shares of the registrant’s common stock outstanding that were held by non-affiliates, and the aggregate market value of such shares held by non-affiliates of the registrant (based on the closing sale price of such shares on the Nasdaq Global Select Market on July 31, 2020) was approximately $51.8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ind w:left="320"/>
        <w:spacing w:after="0"/>
        <w:rPr>
          <w:sz w:val="20"/>
          <w:szCs w:val="20"/>
          <w:color w:val="auto"/>
        </w:rPr>
      </w:pPr>
      <w:r>
        <w:rPr>
          <w:rFonts w:ascii="Arial" w:cs="Arial" w:eastAsia="Arial" w:hAnsi="Arial"/>
          <w:sz w:val="14"/>
          <w:szCs w:val="14"/>
          <w:color w:val="auto"/>
        </w:rPr>
        <w:t>As of March 12, 2021, the registrant had outstanding 219,592,294 shares of common stock.</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Portions of the Proxy Statement for registrant’s Annual Meeting of Stockholders (the “Proxy Statement”), are incorporated by reference in Part III of this Form 10-K to the extent stated herein.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54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w w:val="97"/>
              </w:rPr>
              <w:t>AUTODESK, INC. FORM 10-K</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9"/>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Page</w:t>
            </w:r>
          </w:p>
        </w:tc>
      </w:tr>
      <w:tr>
        <w:trPr>
          <w:trHeight w:val="171"/>
        </w:trPr>
        <w:tc>
          <w:tcPr>
            <w:tcW w:w="580" w:type="dxa"/>
            <w:vAlign w:val="bottom"/>
            <w:tcBorders>
              <w:bottom w:val="single" w:sz="8" w:color="0000FF"/>
            </w:tcBorders>
          </w:tcPr>
          <w:p>
            <w:pPr>
              <w:spacing w:after="0" w:line="171" w:lineRule="exact"/>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w:t>
              </w:r>
            </w:hyperlink>
          </w:p>
        </w:tc>
        <w:tc>
          <w:tcPr>
            <w:tcW w:w="86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spacing w:after="0"/>
              <w:rPr>
                <w:rFonts w:ascii="Arial" w:cs="Arial" w:eastAsia="Arial" w:hAnsi="Arial"/>
                <w:sz w:val="18"/>
                <w:szCs w:val="18"/>
                <w:color w:val="0000FF"/>
                <w:w w:val="82"/>
              </w:rPr>
            </w:pPr>
            <w:hyperlink w:anchor="page5">
              <w:r>
                <w:rPr>
                  <w:rFonts w:ascii="Arial" w:cs="Arial" w:eastAsia="Arial" w:hAnsi="Arial"/>
                  <w:sz w:val="18"/>
                  <w:szCs w:val="18"/>
                  <w:color w:val="0000FF"/>
                  <w:w w:val="82"/>
                </w:rPr>
                <w:t>Business</w:t>
              </w:r>
            </w:hyperlink>
          </w:p>
        </w:tc>
        <w:tc>
          <w:tcPr>
            <w:tcW w:w="7720" w:type="dxa"/>
            <w:vAlign w:val="bottom"/>
            <w:gridSpan w:val="19"/>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80" w:type="dxa"/>
            <w:vAlign w:val="bottom"/>
            <w:gridSpan w:val="3"/>
          </w:tcPr>
          <w:p>
            <w:pPr>
              <w:spacing w:after="0"/>
              <w:rPr>
                <w:rFonts w:ascii="Arial" w:cs="Arial" w:eastAsia="Arial" w:hAnsi="Arial"/>
                <w:sz w:val="18"/>
                <w:szCs w:val="18"/>
                <w:color w:val="0000FF"/>
                <w:w w:val="85"/>
              </w:rPr>
            </w:pPr>
            <w:hyperlink w:anchor="page15">
              <w:r>
                <w:rPr>
                  <w:rFonts w:ascii="Arial" w:cs="Arial" w:eastAsia="Arial" w:hAnsi="Arial"/>
                  <w:sz w:val="18"/>
                  <w:szCs w:val="18"/>
                  <w:color w:val="0000FF"/>
                  <w:w w:val="85"/>
                </w:rPr>
                <w:t>Risk Factors</w:t>
              </w:r>
            </w:hyperlink>
          </w:p>
        </w:tc>
        <w:tc>
          <w:tcPr>
            <w:tcW w:w="7460" w:type="dxa"/>
            <w:vAlign w:val="bottom"/>
            <w:gridSpan w:val="17"/>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gridSpan w:val="9"/>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Unresolved Staff Comments</w:t>
              </w:r>
            </w:hyperlink>
          </w:p>
        </w:tc>
        <w:tc>
          <w:tcPr>
            <w:tcW w:w="6340" w:type="dxa"/>
            <w:vAlign w:val="bottom"/>
            <w:gridSpan w:val="11"/>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00" w:type="dxa"/>
            <w:vAlign w:val="bottom"/>
            <w:gridSpan w:val="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6340" w:type="dxa"/>
            <w:vAlign w:val="bottom"/>
            <w:gridSpan w:val="11"/>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00" w:type="dxa"/>
            <w:vAlign w:val="bottom"/>
            <w:gridSpan w:val="4"/>
          </w:tcPr>
          <w:p>
            <w:pPr>
              <w:spacing w:after="0"/>
              <w:rPr>
                <w:rFonts w:ascii="Arial" w:cs="Arial" w:eastAsia="Arial" w:hAnsi="Arial"/>
                <w:sz w:val="18"/>
                <w:szCs w:val="18"/>
                <w:color w:val="0000FF"/>
                <w:w w:val="84"/>
              </w:rPr>
            </w:pPr>
            <w:hyperlink w:anchor="page32">
              <w:r>
                <w:rPr>
                  <w:rFonts w:ascii="Arial" w:cs="Arial" w:eastAsia="Arial" w:hAnsi="Arial"/>
                  <w:sz w:val="18"/>
                  <w:szCs w:val="18"/>
                  <w:color w:val="0000FF"/>
                  <w:w w:val="84"/>
                </w:rPr>
                <w:t>Legal Proceedings</w:t>
              </w:r>
            </w:hyperlink>
          </w:p>
        </w:tc>
        <w:tc>
          <w:tcPr>
            <w:tcW w:w="7040" w:type="dxa"/>
            <w:vAlign w:val="bottom"/>
            <w:gridSpan w:val="16"/>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34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142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57"/>
        </w:trPr>
        <w:tc>
          <w:tcPr>
            <w:tcW w:w="1440" w:type="dxa"/>
            <w:vAlign w:val="bottom"/>
            <w:gridSpan w:val="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800" w:type="dxa"/>
            <w:vAlign w:val="bottom"/>
            <w:gridSpan w:val="3"/>
          </w:tcPr>
          <w:p>
            <w:pPr>
              <w:spacing w:after="0"/>
              <w:rPr>
                <w:sz w:val="22"/>
                <w:szCs w:val="22"/>
                <w:color w:val="auto"/>
              </w:rPr>
            </w:pPr>
          </w:p>
        </w:tc>
        <w:tc>
          <w:tcPr>
            <w:tcW w:w="8340" w:type="dxa"/>
            <w:vAlign w:val="bottom"/>
            <w:gridSpan w:val="20"/>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Market for Registrant’s Common Equity, Related Stockholder Matters and Issuer Purchases of Equity Securities</w:t>
              </w:r>
            </w:hyperlink>
          </w:p>
        </w:tc>
        <w:tc>
          <w:tcPr>
            <w:tcW w:w="142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788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Selected Financial Data</w:t>
              </w:r>
            </w:hyperlink>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34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142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gridSpan w:val="14"/>
          </w:tcPr>
          <w:p>
            <w:pP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Quantitative and Qualitative Disclosures About Market Risk</w:t>
              </w:r>
            </w:hyperlink>
          </w:p>
        </w:tc>
        <w:tc>
          <w:tcPr>
            <w:tcW w:w="2040" w:type="dxa"/>
            <w:vAlign w:val="bottom"/>
            <w:gridSpan w:val="2"/>
          </w:tcPr>
          <w:p>
            <w:pPr>
              <w:spacing w:after="0"/>
              <w:rPr>
                <w:sz w:val="22"/>
                <w:szCs w:val="22"/>
                <w:color w:val="auto"/>
              </w:rPr>
            </w:pPr>
          </w:p>
        </w:tc>
        <w:tc>
          <w:tcPr>
            <w:tcW w:w="2040" w:type="dxa"/>
            <w:vAlign w:val="bottom"/>
            <w:gridSpan w:val="4"/>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62</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60" w:type="dxa"/>
            <w:vAlign w:val="bottom"/>
            <w:gridSpan w:val="1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Financial Statements and Supplementary Data</w:t>
              </w:r>
            </w:hyperlink>
          </w:p>
        </w:tc>
        <w:tc>
          <w:tcPr>
            <w:tcW w:w="4080" w:type="dxa"/>
            <w:vAlign w:val="bottom"/>
            <w:gridSpan w:val="6"/>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63</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360" w:type="dxa"/>
            <w:vAlign w:val="bottom"/>
            <w:gridSpan w:val="17"/>
          </w:tcPr>
          <w:p>
            <w:pPr>
              <w:spacing w:after="0"/>
              <w:rPr>
                <w:rFonts w:ascii="Arial" w:cs="Arial" w:eastAsia="Arial" w:hAnsi="Arial"/>
                <w:sz w:val="18"/>
                <w:szCs w:val="18"/>
                <w:color w:val="0000FF"/>
                <w:w w:val="88"/>
              </w:rPr>
            </w:pPr>
            <w:hyperlink w:anchor="page107">
              <w:r>
                <w:rPr>
                  <w:rFonts w:ascii="Arial" w:cs="Arial" w:eastAsia="Arial" w:hAnsi="Arial"/>
                  <w:sz w:val="18"/>
                  <w:szCs w:val="18"/>
                  <w:color w:val="0000FF"/>
                  <w:w w:val="88"/>
                </w:rPr>
                <w:t>Changes in and Disagreements With Accountants on Accounting and Financial Disclosure</w:t>
              </w:r>
            </w:hyperlink>
          </w:p>
        </w:tc>
        <w:tc>
          <w:tcPr>
            <w:tcW w:w="1980" w:type="dxa"/>
            <w:vAlign w:val="bottom"/>
            <w:gridSpan w:val="3"/>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07">
              <w:r>
                <w:rPr>
                  <w:rFonts w:ascii="Arial" w:cs="Arial" w:eastAsia="Arial" w:hAnsi="Arial"/>
                  <w:sz w:val="13"/>
                  <w:szCs w:val="13"/>
                  <w:color w:val="0000FF"/>
                  <w:w w:val="73"/>
                </w:rPr>
                <w:t>108</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60" w:type="dxa"/>
            <w:vAlign w:val="bottom"/>
            <w:gridSpan w:val="1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Controls and Procedures</w:t>
              </w:r>
            </w:hyperlink>
          </w:p>
        </w:tc>
        <w:tc>
          <w:tcPr>
            <w:tcW w:w="1980" w:type="dxa"/>
            <w:vAlign w:val="bottom"/>
            <w:gridSpan w:val="3"/>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08">
              <w:r>
                <w:rPr>
                  <w:rFonts w:ascii="Arial" w:cs="Arial" w:eastAsia="Arial" w:hAnsi="Arial"/>
                  <w:sz w:val="13"/>
                  <w:szCs w:val="13"/>
                  <w:color w:val="0000FF"/>
                  <w:w w:val="73"/>
                </w:rPr>
                <w:t>108</w:t>
              </w:r>
            </w:hyperlink>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gridSpan w:val="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Other Information</w:t>
              </w:r>
            </w:hyperlink>
          </w:p>
        </w:tc>
        <w:tc>
          <w:tcPr>
            <w:tcW w:w="6620" w:type="dxa"/>
            <w:vAlign w:val="bottom"/>
            <w:gridSpan w:val="13"/>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08">
              <w:r>
                <w:rPr>
                  <w:rFonts w:ascii="Arial" w:cs="Arial" w:eastAsia="Arial" w:hAnsi="Arial"/>
                  <w:sz w:val="13"/>
                  <w:szCs w:val="13"/>
                  <w:color w:val="0000FF"/>
                  <w:w w:val="73"/>
                </w:rPr>
                <w:t>108</w:t>
              </w:r>
            </w:hyperlink>
          </w:p>
        </w:tc>
      </w:tr>
      <w:tr>
        <w:trPr>
          <w:trHeight w:val="257"/>
        </w:trPr>
        <w:tc>
          <w:tcPr>
            <w:tcW w:w="72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PART III</w:t>
              </w:r>
            </w:hyperlink>
          </w:p>
        </w:tc>
        <w:tc>
          <w:tcPr>
            <w:tcW w:w="72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00" w:type="dxa"/>
            <w:vAlign w:val="bottom"/>
            <w:gridSpan w:val="13"/>
          </w:tcPr>
          <w:p>
            <w:pPr>
              <w:spacing w:after="0"/>
              <w:rPr>
                <w:rFonts w:ascii="Arial" w:cs="Arial" w:eastAsia="Arial" w:hAnsi="Arial"/>
                <w:sz w:val="18"/>
                <w:szCs w:val="18"/>
                <w:color w:val="0000FF"/>
                <w:w w:val="88"/>
              </w:rPr>
            </w:pPr>
            <w:hyperlink w:anchor="page109">
              <w:r>
                <w:rPr>
                  <w:rFonts w:ascii="Arial" w:cs="Arial" w:eastAsia="Arial" w:hAnsi="Arial"/>
                  <w:sz w:val="18"/>
                  <w:szCs w:val="18"/>
                  <w:color w:val="0000FF"/>
                  <w:w w:val="88"/>
                </w:rPr>
                <w:t>Directors, Executive Officers and Corporate Governance</w:t>
              </w:r>
            </w:hyperlink>
          </w:p>
        </w:tc>
        <w:tc>
          <w:tcPr>
            <w:tcW w:w="4340" w:type="dxa"/>
            <w:vAlign w:val="bottom"/>
            <w:gridSpan w:val="7"/>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09">
              <w:r>
                <w:rPr>
                  <w:rFonts w:ascii="Arial" w:cs="Arial" w:eastAsia="Arial" w:hAnsi="Arial"/>
                  <w:sz w:val="13"/>
                  <w:szCs w:val="13"/>
                  <w:color w:val="0000FF"/>
                  <w:w w:val="73"/>
                </w:rPr>
                <w:t>109</w:t>
              </w:r>
            </w:hyperlink>
          </w:p>
        </w:tc>
      </w:tr>
      <w:tr>
        <w:trPr>
          <w:trHeight w:val="20"/>
        </w:trPr>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760" w:type="dxa"/>
            <w:vAlign w:val="bottom"/>
            <w:gridSpan w:val="8"/>
          </w:tcPr>
          <w:p>
            <w:pPr>
              <w:spacing w:after="0"/>
              <w:rPr>
                <w:rFonts w:ascii="Arial" w:cs="Arial" w:eastAsia="Arial" w:hAnsi="Arial"/>
                <w:sz w:val="18"/>
                <w:szCs w:val="18"/>
                <w:color w:val="0000FF"/>
                <w:w w:val="87"/>
              </w:rPr>
            </w:pPr>
            <w:hyperlink w:anchor="page110">
              <w:r>
                <w:rPr>
                  <w:rFonts w:ascii="Arial" w:cs="Arial" w:eastAsia="Arial" w:hAnsi="Arial"/>
                  <w:sz w:val="18"/>
                  <w:szCs w:val="18"/>
                  <w:color w:val="0000FF"/>
                  <w:w w:val="87"/>
                </w:rPr>
                <w:t>Executive Compensation</w:t>
              </w:r>
            </w:hyperlink>
          </w:p>
        </w:tc>
        <w:tc>
          <w:tcPr>
            <w:tcW w:w="2240" w:type="dxa"/>
            <w:vAlign w:val="bottom"/>
            <w:gridSpan w:val="5"/>
          </w:tcPr>
          <w:p>
            <w:pPr>
              <w:spacing w:after="0"/>
              <w:rPr>
                <w:sz w:val="22"/>
                <w:szCs w:val="22"/>
                <w:color w:val="auto"/>
              </w:rPr>
            </w:pPr>
          </w:p>
        </w:tc>
        <w:tc>
          <w:tcPr>
            <w:tcW w:w="4340" w:type="dxa"/>
            <w:vAlign w:val="bottom"/>
            <w:gridSpan w:val="7"/>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10">
              <w:r>
                <w:rPr>
                  <w:rFonts w:ascii="Arial" w:cs="Arial" w:eastAsia="Arial" w:hAnsi="Arial"/>
                  <w:sz w:val="13"/>
                  <w:szCs w:val="13"/>
                  <w:color w:val="0000FF"/>
                  <w:w w:val="73"/>
                </w:rPr>
                <w:t>110</w:t>
              </w:r>
            </w:hyperlink>
          </w:p>
        </w:tc>
      </w:tr>
      <w:tr>
        <w:trPr>
          <w:trHeight w:val="20"/>
        </w:trPr>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gridSpan w:val="18"/>
          </w:tcPr>
          <w:p>
            <w:pPr>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Security Ownership of Certain Beneficial Owners and Management and Related Stockholder Matters</w:t>
              </w:r>
            </w:hyperlink>
          </w:p>
        </w:tc>
        <w:tc>
          <w:tcPr>
            <w:tcW w:w="1220" w:type="dxa"/>
            <w:vAlign w:val="bottom"/>
            <w:gridSpan w:val="2"/>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320" w:type="dxa"/>
            <w:vAlign w:val="bottom"/>
            <w:gridSpan w:val="15"/>
          </w:tcPr>
          <w:p>
            <w:pPr>
              <w:spacing w:after="0"/>
              <w:rPr>
                <w:rFonts w:ascii="Arial" w:cs="Arial" w:eastAsia="Arial" w:hAnsi="Arial"/>
                <w:sz w:val="18"/>
                <w:szCs w:val="18"/>
                <w:color w:val="0000FF"/>
                <w:w w:val="87"/>
              </w:rPr>
            </w:pPr>
            <w:hyperlink w:anchor="page110">
              <w:r>
                <w:rPr>
                  <w:rFonts w:ascii="Arial" w:cs="Arial" w:eastAsia="Arial" w:hAnsi="Arial"/>
                  <w:sz w:val="18"/>
                  <w:szCs w:val="18"/>
                  <w:color w:val="0000FF"/>
                  <w:w w:val="87"/>
                </w:rPr>
                <w:t>Certain Relationships and Related Transactions, and Director Independence</w:t>
              </w:r>
            </w:hyperlink>
          </w:p>
        </w:tc>
        <w:tc>
          <w:tcPr>
            <w:tcW w:w="1800" w:type="dxa"/>
            <w:vAlign w:val="bottom"/>
            <w:gridSpan w:val="3"/>
          </w:tcPr>
          <w:p>
            <w:pPr>
              <w:spacing w:after="0"/>
              <w:rPr>
                <w:sz w:val="22"/>
                <w:szCs w:val="22"/>
                <w:color w:val="auto"/>
              </w:rPr>
            </w:pPr>
          </w:p>
        </w:tc>
        <w:tc>
          <w:tcPr>
            <w:tcW w:w="1220" w:type="dxa"/>
            <w:vAlign w:val="bottom"/>
            <w:gridSpan w:val="2"/>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gridSpan w:val="15"/>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Principal Accounting Fees and Services</w:t>
              </w:r>
            </w:hyperlink>
          </w:p>
        </w:tc>
        <w:tc>
          <w:tcPr>
            <w:tcW w:w="3020" w:type="dxa"/>
            <w:vAlign w:val="bottom"/>
            <w:gridSpan w:val="5"/>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57"/>
        </w:trPr>
        <w:tc>
          <w:tcPr>
            <w:tcW w:w="1440" w:type="dxa"/>
            <w:vAlign w:val="bottom"/>
            <w:gridSpan w:val="5"/>
          </w:tcPr>
          <w:p>
            <w:pPr>
              <w:spacing w:after="0"/>
              <w:rPr>
                <w:rFonts w:ascii="Arial" w:cs="Arial" w:eastAsia="Arial" w:hAnsi="Arial"/>
                <w:sz w:val="18"/>
                <w:szCs w:val="18"/>
                <w:b w:val="1"/>
                <w:bCs w:val="1"/>
                <w:color w:val="0000FF"/>
              </w:rPr>
            </w:pPr>
            <w:hyperlink w:anchor="page110">
              <w:r>
                <w:rPr>
                  <w:rFonts w:ascii="Arial" w:cs="Arial" w:eastAsia="Arial" w:hAnsi="Arial"/>
                  <w:sz w:val="18"/>
                  <w:szCs w:val="18"/>
                  <w:b w:val="1"/>
                  <w:bCs w:val="1"/>
                  <w:color w:val="0000FF"/>
                </w:rPr>
                <w:t>PART IV</w:t>
              </w:r>
            </w:hyperlink>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740" w:type="dxa"/>
            <w:vAlign w:val="bottom"/>
            <w:gridSpan w:val="2"/>
          </w:tcPr>
          <w:p>
            <w:pPr>
              <w:spacing w:after="0"/>
              <w:rPr>
                <w:sz w:val="22"/>
                <w:szCs w:val="22"/>
                <w:color w:val="auto"/>
              </w:rPr>
            </w:pPr>
          </w:p>
        </w:tc>
        <w:tc>
          <w:tcPr>
            <w:tcW w:w="3080" w:type="dxa"/>
            <w:vAlign w:val="bottom"/>
            <w:gridSpan w:val="11"/>
          </w:tcPr>
          <w:p>
            <w:pPr>
              <w:spacing w:after="0"/>
              <w:rPr>
                <w:rFonts w:ascii="Arial" w:cs="Arial" w:eastAsia="Arial" w:hAnsi="Arial"/>
                <w:sz w:val="18"/>
                <w:szCs w:val="18"/>
                <w:color w:val="0000FF"/>
                <w:w w:val="87"/>
              </w:rPr>
            </w:pPr>
            <w:hyperlink w:anchor="page111">
              <w:r>
                <w:rPr>
                  <w:rFonts w:ascii="Arial" w:cs="Arial" w:eastAsia="Arial" w:hAnsi="Arial"/>
                  <w:sz w:val="18"/>
                  <w:szCs w:val="18"/>
                  <w:color w:val="0000FF"/>
                  <w:w w:val="87"/>
                </w:rPr>
                <w:t>Exhibits and Financial Statement Schedules</w:t>
              </w:r>
            </w:hyperlink>
          </w:p>
        </w:tc>
        <w:tc>
          <w:tcPr>
            <w:tcW w:w="5260" w:type="dxa"/>
            <w:vAlign w:val="bottom"/>
            <w:gridSpan w:val="9"/>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111</w:t>
              </w:r>
            </w:hyperlink>
          </w:p>
        </w:tc>
      </w:tr>
      <w:tr>
        <w:trPr>
          <w:trHeight w:val="20"/>
        </w:trPr>
        <w:tc>
          <w:tcPr>
            <w:tcW w:w="1440" w:type="dxa"/>
            <w:vAlign w:val="bottom"/>
            <w:gridSpan w:val="5"/>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4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080" w:type="dxa"/>
            <w:vAlign w:val="bottom"/>
            <w:gridSpan w:val="11"/>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Form 10-K Summary</w:t>
              </w:r>
            </w:hyperlink>
          </w:p>
        </w:tc>
        <w:tc>
          <w:tcPr>
            <w:tcW w:w="5260" w:type="dxa"/>
            <w:vAlign w:val="bottom"/>
            <w:gridSpan w:val="9"/>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111</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gridSpan w:val="2"/>
          </w:tcPr>
          <w:p>
            <w:pPr>
              <w:spacing w:after="0"/>
              <w:rPr>
                <w:rFonts w:ascii="Arial" w:cs="Arial" w:eastAsia="Arial" w:hAnsi="Arial"/>
                <w:sz w:val="18"/>
                <w:szCs w:val="18"/>
                <w:color w:val="0000FF"/>
                <w:w w:val="76"/>
              </w:rPr>
            </w:pPr>
            <w:hyperlink w:anchor="page113">
              <w:r>
                <w:rPr>
                  <w:rFonts w:ascii="Arial" w:cs="Arial" w:eastAsia="Arial" w:hAnsi="Arial"/>
                  <w:sz w:val="18"/>
                  <w:szCs w:val="18"/>
                  <w:color w:val="0000FF"/>
                  <w:w w:val="76"/>
                </w:rPr>
                <w:t>Signatures</w:t>
              </w:r>
            </w:hyperlink>
          </w:p>
        </w:tc>
        <w:tc>
          <w:tcPr>
            <w:tcW w:w="800" w:type="dxa"/>
            <w:vAlign w:val="bottom"/>
            <w:gridSpan w:val="3"/>
          </w:tcPr>
          <w:p>
            <w:pPr>
              <w:spacing w:after="0"/>
              <w:rPr>
                <w:sz w:val="22"/>
                <w:szCs w:val="22"/>
                <w:color w:val="auto"/>
              </w:rPr>
            </w:pPr>
          </w:p>
        </w:tc>
        <w:tc>
          <w:tcPr>
            <w:tcW w:w="6840" w:type="dxa"/>
            <w:vAlign w:val="bottom"/>
            <w:gridSpan w:val="15"/>
          </w:tcPr>
          <w:p>
            <w:pPr>
              <w:spacing w:after="0"/>
              <w:rPr>
                <w:sz w:val="22"/>
                <w:szCs w:val="22"/>
                <w:color w:val="auto"/>
              </w:rPr>
            </w:pPr>
          </w:p>
        </w:tc>
        <w:tc>
          <w:tcPr>
            <w:tcW w:w="1420" w:type="dxa"/>
            <w:vAlign w:val="bottom"/>
            <w:gridSpan w:val="4"/>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85" w:lineRule="exact"/>
        <w:rPr>
          <w:sz w:val="20"/>
          <w:szCs w:val="20"/>
          <w:color w:val="auto"/>
        </w:rPr>
      </w:pPr>
    </w:p>
    <w:p>
      <w:pPr>
        <w:ind w:firstLine="435"/>
        <w:spacing w:after="0" w:line="277" w:lineRule="auto"/>
        <w:rPr>
          <w:sz w:val="20"/>
          <w:szCs w:val="20"/>
          <w:color w:val="auto"/>
        </w:rPr>
      </w:pPr>
      <w:r>
        <w:rPr>
          <w:rFonts w:ascii="Arial" w:cs="Arial" w:eastAsia="Arial" w:hAnsi="Arial"/>
          <w:sz w:val="16"/>
          <w:szCs w:val="16"/>
          <w:i w:val="1"/>
          <w:iCs w:val="1"/>
          <w:color w:val="auto"/>
        </w:rPr>
        <w:t xml:space="preserve">The discussion in this Annual Report on Form 10-K contains trend analyses and other forward-looking statements within the meaning of Section 27A of the Securities Act of 1933 and Section 21E of the Securities Exchange Act of 1934. Forward-looking statements may appear throughout this Form 10-K, including the following sections: “Business” (Part I, Item 1), “Risk Factors” (Part I, Item 1A), and “Management’s Discussion and Analysis of Financial Condition and Results of Operations” (Part II, Item 7). Forward-looking statements are any statements that look to future events and consist of, among other things, our business strategies; future financial results (by product type and geography) and subscriptions; the effectiveness of our efforts to successfully manage transitions to new markets; expectations for recurring revenue, net revenue retention rate, operating expenses, cash flow, remaining performance obligations, our subscription base, and other financial and operational metrics; the effects of global economic and political conditions, including the impact of economic volatility and geopolitical activities in certain countries; </w:t>
      </w:r>
      <w:r>
        <w:rPr>
          <w:rFonts w:ascii="Arial" w:cs="Arial" w:eastAsia="Arial" w:hAnsi="Arial"/>
          <w:sz w:val="17"/>
          <w:szCs w:val="17"/>
          <w:i w:val="1"/>
          <w:iCs w:val="1"/>
          <w:color w:val="auto"/>
        </w:rPr>
        <w:t>t</w:t>
      </w:r>
      <w:r>
        <w:rPr>
          <w:rFonts w:ascii="Arial" w:cs="Arial" w:eastAsia="Arial" w:hAnsi="Arial"/>
          <w:sz w:val="16"/>
          <w:szCs w:val="16"/>
          <w:i w:val="1"/>
          <w:iCs w:val="1"/>
          <w:color w:val="auto"/>
        </w:rPr>
        <w:t>he impact of the coronavirus (COVID-19) pandemic on our business and results of operations; the impact of past and planned acquisitions and investment activities; expected market trends and market opportunities; our ability to successfully expand adoption of our products; our ability to gain market acceptance of new businesses and sales initiatives; cybersecurity and privacy issues or incidents; the effect of competition; the effect of unemployment; the availability of credit; the effects of revenue recognition; the effects of newly recently issued accounting standards; expected trends in certain financial metrics, including expenses; expectations regarding our cash needs and expenditures;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6"/>
          <w:szCs w:val="16"/>
          <w:b w:val="1"/>
          <w:bCs w:val="1"/>
          <w:color w:val="0696D7"/>
        </w:rPr>
        <w:t>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firstLine="435"/>
        <w:spacing w:after="0" w:line="285" w:lineRule="auto"/>
        <w:rPr>
          <w:sz w:val="20"/>
          <w:szCs w:val="20"/>
          <w:color w:val="auto"/>
        </w:rPr>
      </w:pPr>
      <w:r>
        <w:rPr>
          <w:rFonts w:ascii="Arial" w:cs="Arial" w:eastAsia="Arial" w:hAnsi="Arial"/>
          <w:sz w:val="16"/>
          <w:szCs w:val="16"/>
          <w:color w:val="auto"/>
        </w:rPr>
        <w:t>We are a global leader in 3D design, engineering, and entertainment software and services, offering customers productive business solutions through powerful technology products and services. We serve customers in architecture, engineering, and construction; product design and manufacturing; and digital media and entertainment industries.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both directly to customers and through a network of resellers and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41" w:lineRule="exact"/>
        <w:rPr>
          <w:sz w:val="20"/>
          <w:szCs w:val="20"/>
          <w:color w:val="auto"/>
        </w:rPr>
      </w:pPr>
    </w:p>
    <w:p>
      <w:pPr>
        <w:ind w:right="200" w:firstLine="435"/>
        <w:spacing w:after="0" w:line="292" w:lineRule="auto"/>
        <w:rPr>
          <w:sz w:val="20"/>
          <w:szCs w:val="20"/>
          <w:color w:val="auto"/>
        </w:rPr>
      </w:pPr>
      <w:r>
        <w:rPr>
          <w:rFonts w:ascii="Arial" w:cs="Arial" w:eastAsia="Arial" w:hAnsi="Arial"/>
          <w:sz w:val="16"/>
          <w:szCs w:val="16"/>
          <w:color w:val="auto"/>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47" w:lineRule="exact"/>
        <w:rPr>
          <w:sz w:val="20"/>
          <w:szCs w:val="20"/>
          <w:color w:val="auto"/>
        </w:rPr>
      </w:pPr>
    </w:p>
    <w:p>
      <w:pPr>
        <w:ind w:right="180" w:firstLine="435"/>
        <w:spacing w:after="0" w:line="281" w:lineRule="auto"/>
        <w:rPr>
          <w:sz w:val="20"/>
          <w:szCs w:val="20"/>
          <w:color w:val="auto"/>
        </w:rPr>
      </w:pPr>
      <w:r>
        <w:rPr>
          <w:rFonts w:ascii="Arial" w:cs="Arial" w:eastAsia="Arial" w:hAnsi="Arial"/>
          <w:sz w:val="16"/>
          <w:szCs w:val="16"/>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and games 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Note 2, “Revenue Recognition,” in the Notes to Consolidated Financial Statements.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sold through a subscription, include: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Architecture, Engineering and Construction (“AEC”)</w:t>
      </w:r>
    </w:p>
    <w:p>
      <w:pPr>
        <w:spacing w:after="0" w:line="241"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Civil 3D</w:t>
      </w:r>
    </w:p>
    <w:p>
      <w:pPr>
        <w:spacing w:after="0" w:line="241" w:lineRule="exact"/>
        <w:rPr>
          <w:sz w:val="20"/>
          <w:szCs w:val="20"/>
          <w:color w:val="auto"/>
        </w:rPr>
      </w:pPr>
    </w:p>
    <w:p>
      <w:pPr>
        <w:ind w:right="120" w:firstLine="435"/>
        <w:spacing w:after="0" w:line="249" w:lineRule="auto"/>
        <w:rPr>
          <w:sz w:val="20"/>
          <w:szCs w:val="20"/>
          <w:color w:val="auto"/>
        </w:rPr>
      </w:pPr>
      <w:r>
        <w:rPr>
          <w:rFonts w:ascii="Arial" w:cs="Arial" w:eastAsia="Arial" w:hAnsi="Arial"/>
          <w:sz w:val="18"/>
          <w:szCs w:val="18"/>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219" w:lineRule="exact"/>
        <w:rPr>
          <w:sz w:val="20"/>
          <w:szCs w:val="20"/>
          <w:color w:val="auto"/>
        </w:rPr>
      </w:pPr>
    </w:p>
    <w:p>
      <w:pPr>
        <w:ind w:left="640" w:hanging="318"/>
        <w:spacing w:after="0"/>
        <w:tabs>
          <w:tab w:leader="none" w:pos="640" w:val="left"/>
        </w:tabs>
        <w:numPr>
          <w:ilvl w:val="0"/>
          <w:numId w:val="4"/>
        </w:numPr>
        <w:rPr>
          <w:rFonts w:ascii="Arial" w:cs="Arial" w:eastAsia="Arial" w:hAnsi="Arial"/>
          <w:sz w:val="18"/>
          <w:szCs w:val="18"/>
          <w:i w:val="1"/>
          <w:iCs w:val="1"/>
          <w:color w:val="0696D7"/>
        </w:rPr>
      </w:pPr>
      <w:r>
        <w:rPr>
          <w:rFonts w:ascii="Arial" w:cs="Arial" w:eastAsia="Arial" w:hAnsi="Arial"/>
          <w:sz w:val="18"/>
          <w:szCs w:val="18"/>
          <w:i w:val="1"/>
          <w:iCs w:val="1"/>
          <w:color w:val="0696D7"/>
        </w:rPr>
        <w:t>BIM 360</w:t>
      </w:r>
    </w:p>
    <w:p>
      <w:pPr>
        <w:spacing w:after="0" w:line="241"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BIM 360 construction management cloud-based software enables almost anytime, anywhere access to project data throughout the building construction lifecycle. BIM 360 empowers those in the field to better anticipate and act, and those in the back office to optimize and manage all aspects of construction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tabs>
          <w:tab w:leader="none" w:pos="640" w:val="left"/>
        </w:tabs>
        <w:numPr>
          <w:ilvl w:val="0"/>
          <w:numId w:val="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41" w:lineRule="exact"/>
        <w:rPr>
          <w:sz w:val="20"/>
          <w:szCs w:val="20"/>
          <w:color w:val="auto"/>
        </w:rPr>
      </w:pPr>
    </w:p>
    <w:p>
      <w:pPr>
        <w:ind w:right="380" w:firstLine="435"/>
        <w:spacing w:after="0" w:line="262" w:lineRule="auto"/>
        <w:rPr>
          <w:sz w:val="20"/>
          <w:szCs w:val="20"/>
          <w:color w:val="auto"/>
        </w:rPr>
      </w:pPr>
      <w:r>
        <w:rPr>
          <w:rFonts w:ascii="Arial" w:cs="Arial" w:eastAsia="Arial" w:hAnsi="Arial"/>
          <w:sz w:val="18"/>
          <w:szCs w:val="18"/>
          <w:color w:val="auto"/>
        </w:rPr>
        <w:t>The AEC Collection, including AutoCAD, AutoCAD Civil3D, and Revit, aims to help our customers design, engineer, and construct higher quality, more predictable building and civil infrastructure projects, commonly used by AEC industry experts.</w:t>
      </w:r>
    </w:p>
    <w:p>
      <w:pPr>
        <w:spacing w:after="0" w:line="208" w:lineRule="exact"/>
        <w:rPr>
          <w:sz w:val="20"/>
          <w:szCs w:val="20"/>
          <w:color w:val="auto"/>
        </w:rPr>
      </w:pPr>
    </w:p>
    <w:p>
      <w:pPr>
        <w:ind w:left="640" w:hanging="318"/>
        <w:spacing w:after="0"/>
        <w:tabs>
          <w:tab w:leader="none" w:pos="640" w:val="left"/>
        </w:tabs>
        <w:numPr>
          <w:ilvl w:val="0"/>
          <w:numId w:val="6"/>
        </w:numPr>
        <w:rPr>
          <w:rFonts w:ascii="Arial" w:cs="Arial" w:eastAsia="Arial" w:hAnsi="Arial"/>
          <w:sz w:val="18"/>
          <w:szCs w:val="18"/>
          <w:i w:val="1"/>
          <w:iCs w:val="1"/>
          <w:color w:val="0696D7"/>
        </w:rPr>
      </w:pPr>
      <w:r>
        <w:rPr>
          <w:rFonts w:ascii="Arial" w:cs="Arial" w:eastAsia="Arial" w:hAnsi="Arial"/>
          <w:sz w:val="18"/>
          <w:szCs w:val="18"/>
          <w:i w:val="1"/>
          <w:iCs w:val="1"/>
          <w:color w:val="0696D7"/>
        </w:rPr>
        <w:t>PlanGrid</w:t>
      </w:r>
    </w:p>
    <w:p>
      <w:pPr>
        <w:spacing w:after="0" w:line="241" w:lineRule="exact"/>
        <w:rPr>
          <w:sz w:val="20"/>
          <w:szCs w:val="20"/>
          <w:color w:val="auto"/>
        </w:rPr>
      </w:pPr>
    </w:p>
    <w:p>
      <w:pPr>
        <w:ind w:right="20" w:firstLine="435"/>
        <w:spacing w:after="0" w:line="287" w:lineRule="auto"/>
        <w:rPr>
          <w:sz w:val="20"/>
          <w:szCs w:val="20"/>
          <w:color w:val="auto"/>
        </w:rPr>
      </w:pPr>
      <w:r>
        <w:rPr>
          <w:rFonts w:ascii="Arial" w:cs="Arial" w:eastAsia="Arial" w:hAnsi="Arial"/>
          <w:sz w:val="16"/>
          <w:szCs w:val="16"/>
          <w:color w:val="auto"/>
        </w:rPr>
        <w:t>PlanGrid cloud-based field collaboration software provides general contractors, subcontractors, owners, and architects access to construction information in real time. With PlanGrid technology, any construction team member can manage and update blueprints, specs, photos, requests for information (RFIs), field reports, punchlists, and other critical jobsite data. The data collected within PlanGrid software acts as a digital trail during the building process, allowing for easy turnover to the owner for operations and maintenance after construction is complete. PlanGrid mobile-first technology is accessible on modern desktop, laptop, or mobile devices, including native iOS, Android, and Windows.</w:t>
      </w:r>
    </w:p>
    <w:p>
      <w:pPr>
        <w:spacing w:after="0" w:line="192" w:lineRule="exact"/>
        <w:rPr>
          <w:sz w:val="20"/>
          <w:szCs w:val="20"/>
          <w:color w:val="auto"/>
        </w:rPr>
      </w:pPr>
    </w:p>
    <w:p>
      <w:pPr>
        <w:ind w:left="640" w:hanging="318"/>
        <w:spacing w:after="0"/>
        <w:tabs>
          <w:tab w:leader="none" w:pos="640" w:val="left"/>
        </w:tabs>
        <w:numPr>
          <w:ilvl w:val="0"/>
          <w:numId w:val="7"/>
        </w:numPr>
        <w:rPr>
          <w:rFonts w:ascii="Arial" w:cs="Arial" w:eastAsia="Arial" w:hAnsi="Arial"/>
          <w:sz w:val="18"/>
          <w:szCs w:val="18"/>
          <w:i w:val="1"/>
          <w:iCs w:val="1"/>
          <w:color w:val="0696D7"/>
        </w:rPr>
      </w:pPr>
      <w:r>
        <w:rPr>
          <w:rFonts w:ascii="Arial" w:cs="Arial" w:eastAsia="Arial" w:hAnsi="Arial"/>
          <w:sz w:val="18"/>
          <w:szCs w:val="18"/>
          <w:i w:val="1"/>
          <w:iCs w:val="1"/>
          <w:color w:val="0696D7"/>
        </w:rPr>
        <w:t>Revit</w:t>
      </w:r>
    </w:p>
    <w:p>
      <w:pPr>
        <w:spacing w:after="0" w:line="241" w:lineRule="exact"/>
        <w:rPr>
          <w:sz w:val="20"/>
          <w:szCs w:val="20"/>
          <w:color w:val="auto"/>
        </w:rPr>
      </w:pPr>
    </w:p>
    <w:p>
      <w:pPr>
        <w:ind w:right="40" w:firstLine="435"/>
        <w:spacing w:after="0" w:line="292" w:lineRule="auto"/>
        <w:rPr>
          <w:sz w:val="20"/>
          <w:szCs w:val="20"/>
          <w:color w:val="auto"/>
        </w:rPr>
      </w:pPr>
      <w:r>
        <w:rPr>
          <w:rFonts w:ascii="Arial" w:cs="Arial" w:eastAsia="Arial" w:hAnsi="Arial"/>
          <w:sz w:val="16"/>
          <w:szCs w:val="16"/>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AutoCAD and AutoCAD LT</w:t>
      </w:r>
    </w:p>
    <w:p>
      <w:pPr>
        <w:spacing w:after="0" w:line="241" w:lineRule="exact"/>
        <w:rPr>
          <w:sz w:val="20"/>
          <w:szCs w:val="20"/>
          <w:color w:val="auto"/>
        </w:rPr>
      </w:pPr>
    </w:p>
    <w:p>
      <w:pPr>
        <w:ind w:left="640" w:hanging="318"/>
        <w:spacing w:after="0"/>
        <w:tabs>
          <w:tab w:leader="none" w:pos="640" w:val="left"/>
        </w:tabs>
        <w:numPr>
          <w:ilvl w:val="0"/>
          <w:numId w:val="8"/>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w:t>
      </w:r>
    </w:p>
    <w:p>
      <w:pPr>
        <w:spacing w:after="0" w:line="241"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216" w:lineRule="exact"/>
        <w:rPr>
          <w:sz w:val="20"/>
          <w:szCs w:val="20"/>
          <w:color w:val="auto"/>
        </w:rPr>
      </w:pPr>
    </w:p>
    <w:p>
      <w:pPr>
        <w:ind w:left="640" w:hanging="318"/>
        <w:spacing w:after="0"/>
        <w:tabs>
          <w:tab w:leader="none" w:pos="640" w:val="left"/>
        </w:tabs>
        <w:numPr>
          <w:ilvl w:val="0"/>
          <w:numId w:val="9"/>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LT</w:t>
      </w:r>
    </w:p>
    <w:p>
      <w:pPr>
        <w:spacing w:after="0" w:line="241" w:lineRule="exact"/>
        <w:rPr>
          <w:sz w:val="20"/>
          <w:szCs w:val="20"/>
          <w:color w:val="auto"/>
        </w:rPr>
      </w:pPr>
    </w:p>
    <w:p>
      <w:pPr>
        <w:jc w:val="both"/>
        <w:ind w:right="160" w:firstLine="435"/>
        <w:spacing w:after="0" w:line="253"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Manufacturing (“MFG”)</w:t>
      </w:r>
    </w:p>
    <w:p>
      <w:pPr>
        <w:spacing w:after="0" w:line="241" w:lineRule="exact"/>
        <w:rPr>
          <w:sz w:val="20"/>
          <w:szCs w:val="20"/>
          <w:color w:val="auto"/>
        </w:rPr>
      </w:pPr>
    </w:p>
    <w:p>
      <w:pPr>
        <w:ind w:left="640" w:hanging="318"/>
        <w:spacing w:after="0"/>
        <w:tabs>
          <w:tab w:leader="none" w:pos="64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CAM Solutions</w:t>
      </w:r>
    </w:p>
    <w:p>
      <w:pPr>
        <w:spacing w:after="0" w:line="241" w:lineRule="exact"/>
        <w:rPr>
          <w:sz w:val="20"/>
          <w:szCs w:val="20"/>
          <w:color w:val="auto"/>
        </w:rPr>
      </w:pPr>
    </w:p>
    <w:p>
      <w:pPr>
        <w:jc w:val="both"/>
        <w:ind w:right="20" w:firstLine="435"/>
        <w:spacing w:after="0" w:line="300" w:lineRule="auto"/>
        <w:rPr>
          <w:sz w:val="20"/>
          <w:szCs w:val="20"/>
          <w:color w:val="auto"/>
        </w:rPr>
      </w:pPr>
      <w:r>
        <w:rPr>
          <w:rFonts w:ascii="Arial" w:cs="Arial" w:eastAsia="Arial" w:hAnsi="Arial"/>
          <w:sz w:val="16"/>
          <w:szCs w:val="16"/>
          <w:color w:val="auto"/>
        </w:rPr>
        <w:t>Our computer-aided manufacturing (“CAM”) software offers industry-leading solutions for computer numerical control (“CNC”) machining, inspection, and modeling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81" w:lineRule="exact"/>
        <w:rPr>
          <w:sz w:val="20"/>
          <w:szCs w:val="20"/>
          <w:color w:val="auto"/>
        </w:rPr>
      </w:pPr>
    </w:p>
    <w:p>
      <w:pPr>
        <w:ind w:left="640" w:hanging="318"/>
        <w:spacing w:after="0"/>
        <w:tabs>
          <w:tab w:leader="none" w:pos="640" w:val="left"/>
        </w:tabs>
        <w:numPr>
          <w:ilvl w:val="0"/>
          <w:numId w:val="11"/>
        </w:numPr>
        <w:rPr>
          <w:rFonts w:ascii="Arial" w:cs="Arial" w:eastAsia="Arial" w:hAnsi="Arial"/>
          <w:sz w:val="18"/>
          <w:szCs w:val="18"/>
          <w:i w:val="1"/>
          <w:iCs w:val="1"/>
          <w:color w:val="0696D7"/>
        </w:rPr>
      </w:pPr>
      <w:r>
        <w:rPr>
          <w:rFonts w:ascii="Arial" w:cs="Arial" w:eastAsia="Arial" w:hAnsi="Arial"/>
          <w:sz w:val="18"/>
          <w:szCs w:val="18"/>
          <w:i w:val="1"/>
          <w:iCs w:val="1"/>
          <w:color w:val="0696D7"/>
        </w:rPr>
        <w:t>Fusion 360</w:t>
      </w:r>
    </w:p>
    <w:p>
      <w:pPr>
        <w:spacing w:after="0" w:line="241"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w:t>
      </w:r>
    </w:p>
    <w:p>
      <w:pPr>
        <w:spacing w:after="0" w:line="208" w:lineRule="exact"/>
        <w:rPr>
          <w:sz w:val="20"/>
          <w:szCs w:val="20"/>
          <w:color w:val="auto"/>
        </w:rPr>
      </w:pPr>
    </w:p>
    <w:p>
      <w:pPr>
        <w:ind w:left="640" w:hanging="318"/>
        <w:spacing w:after="0"/>
        <w:tabs>
          <w:tab w:leader="none" w:pos="64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41" w:lineRule="exact"/>
        <w:rPr>
          <w:sz w:val="20"/>
          <w:szCs w:val="20"/>
          <w:color w:val="auto"/>
        </w:rPr>
      </w:pPr>
    </w:p>
    <w:p>
      <w:pPr>
        <w:ind w:right="80" w:firstLine="435"/>
        <w:spacing w:after="0" w:line="253" w:lineRule="auto"/>
        <w:rPr>
          <w:sz w:val="20"/>
          <w:szCs w:val="20"/>
          <w:color w:val="auto"/>
        </w:rPr>
      </w:pPr>
      <w:r>
        <w:rPr>
          <w:rFonts w:ascii="Arial" w:cs="Arial" w:eastAsia="Arial" w:hAnsi="Arial"/>
          <w:sz w:val="18"/>
          <w:szCs w:val="18"/>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360, Vault, and Inventor.</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tabs>
          <w:tab w:leader="none" w:pos="640" w:val="left"/>
        </w:tabs>
        <w:numPr>
          <w:ilvl w:val="0"/>
          <w:numId w:val="13"/>
        </w:numPr>
        <w:rPr>
          <w:rFonts w:ascii="Arial" w:cs="Arial" w:eastAsia="Arial" w:hAnsi="Arial"/>
          <w:sz w:val="18"/>
          <w:szCs w:val="18"/>
          <w:i w:val="1"/>
          <w:iCs w:val="1"/>
          <w:color w:val="0696D7"/>
        </w:rPr>
      </w:pPr>
      <w:r>
        <w:rPr>
          <w:rFonts w:ascii="Arial" w:cs="Arial" w:eastAsia="Arial" w:hAnsi="Arial"/>
          <w:sz w:val="18"/>
          <w:szCs w:val="18"/>
          <w:i w:val="1"/>
          <w:iCs w:val="1"/>
          <w:color w:val="0696D7"/>
        </w:rPr>
        <w:t>Inventor</w:t>
      </w:r>
    </w:p>
    <w:p>
      <w:pPr>
        <w:spacing w:after="0" w:line="241"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219" w:lineRule="exact"/>
        <w:rPr>
          <w:sz w:val="20"/>
          <w:szCs w:val="20"/>
          <w:color w:val="auto"/>
        </w:rPr>
      </w:pPr>
    </w:p>
    <w:p>
      <w:pPr>
        <w:ind w:left="640" w:hanging="318"/>
        <w:spacing w:after="0"/>
        <w:tabs>
          <w:tab w:leader="none" w:pos="640" w:val="left"/>
        </w:tabs>
        <w:numPr>
          <w:ilvl w:val="0"/>
          <w:numId w:val="14"/>
        </w:numPr>
        <w:rPr>
          <w:rFonts w:ascii="Arial" w:cs="Arial" w:eastAsia="Arial" w:hAnsi="Arial"/>
          <w:sz w:val="18"/>
          <w:szCs w:val="18"/>
          <w:i w:val="1"/>
          <w:iCs w:val="1"/>
          <w:color w:val="0696D7"/>
        </w:rPr>
      </w:pPr>
      <w:r>
        <w:rPr>
          <w:rFonts w:ascii="Arial" w:cs="Arial" w:eastAsia="Arial" w:hAnsi="Arial"/>
          <w:sz w:val="18"/>
          <w:szCs w:val="18"/>
          <w:i w:val="1"/>
          <w:iCs w:val="1"/>
          <w:color w:val="0696D7"/>
        </w:rPr>
        <w:t>Vault</w:t>
      </w:r>
    </w:p>
    <w:p>
      <w:pPr>
        <w:spacing w:after="0" w:line="241" w:lineRule="exact"/>
        <w:rPr>
          <w:sz w:val="20"/>
          <w:szCs w:val="20"/>
          <w:color w:val="auto"/>
        </w:rPr>
      </w:pPr>
    </w:p>
    <w:p>
      <w:pPr>
        <w:jc w:val="both"/>
        <w:ind w:right="340" w:firstLine="435"/>
        <w:spacing w:after="0" w:line="300" w:lineRule="auto"/>
        <w:rPr>
          <w:sz w:val="20"/>
          <w:szCs w:val="20"/>
          <w:color w:val="auto"/>
        </w:rPr>
      </w:pPr>
      <w:r>
        <w:rPr>
          <w:rFonts w:ascii="Arial" w:cs="Arial" w:eastAsia="Arial" w:hAnsi="Arial"/>
          <w:sz w:val="16"/>
          <w:szCs w:val="16"/>
          <w:color w:val="auto"/>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Media and Entertainment (“M&amp;E”)</w:t>
      </w:r>
    </w:p>
    <w:p>
      <w:pPr>
        <w:spacing w:after="0" w:line="241" w:lineRule="exact"/>
        <w:rPr>
          <w:sz w:val="20"/>
          <w:szCs w:val="20"/>
          <w:color w:val="auto"/>
        </w:rPr>
      </w:pPr>
    </w:p>
    <w:p>
      <w:pPr>
        <w:ind w:left="640" w:hanging="318"/>
        <w:spacing w:after="0"/>
        <w:tabs>
          <w:tab w:leader="none" w:pos="640" w:val="left"/>
        </w:tabs>
        <w:numPr>
          <w:ilvl w:val="0"/>
          <w:numId w:val="1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41" w:lineRule="exact"/>
        <w:rPr>
          <w:sz w:val="20"/>
          <w:szCs w:val="20"/>
          <w:color w:val="auto"/>
        </w:rPr>
      </w:pPr>
    </w:p>
    <w:p>
      <w:pPr>
        <w:ind w:right="20" w:firstLine="435"/>
        <w:spacing w:after="0" w:line="325" w:lineRule="auto"/>
        <w:rPr>
          <w:sz w:val="20"/>
          <w:szCs w:val="20"/>
          <w:color w:val="auto"/>
        </w:rPr>
      </w:pPr>
      <w:r>
        <w:rPr>
          <w:rFonts w:ascii="Arial" w:cs="Arial" w:eastAsia="Arial" w:hAnsi="Arial"/>
          <w:sz w:val="16"/>
          <w:szCs w:val="16"/>
          <w:color w:val="auto"/>
        </w:rPr>
        <w:t>The M&amp;E Collection provides end-to-end creative tools for entertainment creation. This collection enables animators, modelers, and visual effects artists to access the tools they need, including Maya and 3ds Max, to create compelling effects, 3D characters, and digital worlds.</w:t>
      </w:r>
    </w:p>
    <w:p>
      <w:pPr>
        <w:spacing w:after="0" w:line="161" w:lineRule="exact"/>
        <w:rPr>
          <w:sz w:val="20"/>
          <w:szCs w:val="20"/>
          <w:color w:val="auto"/>
        </w:rPr>
      </w:pPr>
    </w:p>
    <w:p>
      <w:pPr>
        <w:ind w:left="640" w:hanging="318"/>
        <w:spacing w:after="0"/>
        <w:tabs>
          <w:tab w:leader="none" w:pos="640" w:val="left"/>
        </w:tabs>
        <w:numPr>
          <w:ilvl w:val="0"/>
          <w:numId w:val="16"/>
        </w:numPr>
        <w:rPr>
          <w:rFonts w:ascii="Arial" w:cs="Arial" w:eastAsia="Arial" w:hAnsi="Arial"/>
          <w:sz w:val="18"/>
          <w:szCs w:val="18"/>
          <w:i w:val="1"/>
          <w:iCs w:val="1"/>
          <w:color w:val="0696D7"/>
        </w:rPr>
      </w:pPr>
      <w:r>
        <w:rPr>
          <w:rFonts w:ascii="Arial" w:cs="Arial" w:eastAsia="Arial" w:hAnsi="Arial"/>
          <w:sz w:val="18"/>
          <w:szCs w:val="18"/>
          <w:i w:val="1"/>
          <w:iCs w:val="1"/>
          <w:color w:val="0696D7"/>
        </w:rPr>
        <w:t>Maya</w:t>
      </w:r>
    </w:p>
    <w:p>
      <w:pPr>
        <w:spacing w:after="0" w:line="241"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full-length animated feature films.</w:t>
      </w:r>
    </w:p>
    <w:p>
      <w:pPr>
        <w:spacing w:after="0" w:line="216" w:lineRule="exact"/>
        <w:rPr>
          <w:sz w:val="20"/>
          <w:szCs w:val="20"/>
          <w:color w:val="auto"/>
        </w:rPr>
      </w:pPr>
    </w:p>
    <w:p>
      <w:pPr>
        <w:ind w:left="640" w:hanging="318"/>
        <w:spacing w:after="0"/>
        <w:tabs>
          <w:tab w:leader="none" w:pos="640" w:val="left"/>
        </w:tabs>
        <w:numPr>
          <w:ilvl w:val="0"/>
          <w:numId w:val="17"/>
        </w:numPr>
        <w:rPr>
          <w:rFonts w:ascii="Arial" w:cs="Arial" w:eastAsia="Arial" w:hAnsi="Arial"/>
          <w:sz w:val="18"/>
          <w:szCs w:val="18"/>
          <w:i w:val="1"/>
          <w:iCs w:val="1"/>
          <w:color w:val="0696D7"/>
        </w:rPr>
      </w:pPr>
      <w:r>
        <w:rPr>
          <w:rFonts w:ascii="Arial" w:cs="Arial" w:eastAsia="Arial" w:hAnsi="Arial"/>
          <w:sz w:val="18"/>
          <w:szCs w:val="18"/>
          <w:i w:val="1"/>
          <w:iCs w:val="1"/>
          <w:color w:val="0696D7"/>
        </w:rPr>
        <w:t>Shotgun</w:t>
      </w:r>
    </w:p>
    <w:p>
      <w:pPr>
        <w:spacing w:after="0" w:line="241" w:lineRule="exact"/>
        <w:rPr>
          <w:sz w:val="20"/>
          <w:szCs w:val="20"/>
          <w:color w:val="auto"/>
        </w:rPr>
      </w:pPr>
    </w:p>
    <w:p>
      <w:pPr>
        <w:ind w:right="440" w:firstLine="435"/>
        <w:spacing w:after="0" w:line="325" w:lineRule="auto"/>
        <w:rPr>
          <w:sz w:val="20"/>
          <w:szCs w:val="20"/>
          <w:color w:val="auto"/>
        </w:rPr>
      </w:pPr>
      <w:r>
        <w:rPr>
          <w:rFonts w:ascii="Arial" w:cs="Arial" w:eastAsia="Arial" w:hAnsi="Arial"/>
          <w:sz w:val="16"/>
          <w:szCs w:val="16"/>
          <w:color w:val="auto"/>
        </w:rPr>
        <w:t>Shotgun is cloud-based software for review and production tracking in the M&amp;E industry. Creative companies use the Shotgun platform to provide essential business tools for managers and visual collaboration tools for artists and supervisors, who often work globally with distributed teams.</w:t>
      </w:r>
    </w:p>
    <w:p>
      <w:pPr>
        <w:spacing w:after="0" w:line="161"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8"/>
          <w:szCs w:val="18"/>
          <w:i w:val="1"/>
          <w:iCs w:val="1"/>
          <w:color w:val="0696D7"/>
        </w:rPr>
      </w:pPr>
      <w:r>
        <w:rPr>
          <w:rFonts w:ascii="Arial" w:cs="Arial" w:eastAsia="Arial" w:hAnsi="Arial"/>
          <w:sz w:val="18"/>
          <w:szCs w:val="18"/>
          <w:i w:val="1"/>
          <w:iCs w:val="1"/>
          <w:color w:val="0696D7"/>
        </w:rPr>
        <w:t>3ds Max</w:t>
      </w:r>
    </w:p>
    <w:p>
      <w:pPr>
        <w:spacing w:after="0" w:line="241" w:lineRule="exact"/>
        <w:rPr>
          <w:sz w:val="20"/>
          <w:szCs w:val="20"/>
          <w:color w:val="auto"/>
        </w:rPr>
      </w:pPr>
    </w:p>
    <w:p>
      <w:pPr>
        <w:jc w:val="both"/>
        <w:ind w:right="60" w:firstLine="435"/>
        <w:spacing w:after="0" w:line="253"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47" w:lineRule="exact"/>
        <w:rPr>
          <w:sz w:val="20"/>
          <w:szCs w:val="20"/>
          <w:color w:val="auto"/>
        </w:rPr>
      </w:pPr>
    </w:p>
    <w:p>
      <w:pPr>
        <w:ind w:right="360" w:firstLine="435"/>
        <w:spacing w:after="0" w:line="250" w:lineRule="auto"/>
        <w:rPr>
          <w:sz w:val="20"/>
          <w:szCs w:val="20"/>
          <w:color w:val="auto"/>
        </w:rPr>
      </w:pPr>
      <w:r>
        <w:rPr>
          <w:rFonts w:ascii="Arial" w:cs="Arial" w:eastAsia="Arial" w:hAnsi="Arial"/>
          <w:sz w:val="18"/>
          <w:szCs w:val="18"/>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more flexibility and sustainable outcomes.</w:t>
      </w:r>
    </w:p>
    <w:p>
      <w:pPr>
        <w:spacing w:after="0" w:line="219" w:lineRule="exact"/>
        <w:rPr>
          <w:sz w:val="20"/>
          <w:szCs w:val="20"/>
          <w:color w:val="auto"/>
        </w:rPr>
      </w:pPr>
    </w:p>
    <w:p>
      <w:pPr>
        <w:ind w:right="40" w:firstLine="396"/>
        <w:spacing w:after="0" w:line="303" w:lineRule="auto"/>
        <w:rPr>
          <w:sz w:val="20"/>
          <w:szCs w:val="20"/>
          <w:color w:val="auto"/>
        </w:rPr>
      </w:pPr>
      <w:r>
        <w:rPr>
          <w:rFonts w:ascii="Arial" w:cs="Arial" w:eastAsia="Arial" w:hAnsi="Arial"/>
          <w:sz w:val="15"/>
          <w:szCs w:val="15"/>
          <w:color w:val="auto"/>
        </w:rPr>
        <w:t>The software industry has undergone a transition from developing and selling perpetual licenses and on-premises products to subscriptions and cloud-enabled technologies. To address this shift, Autodesk made a strategic decision to shift its business model from selling perpetual licenses to selling subscriptions. Subscription plan offerings are designed to give our customers increased flexibility with how they use our products and service offerings and to attract a broader range of customers such as project-based users and small businesses. Subscriptions represent a combined hybrid offering of desktop software and cloud functionality which provides a device-independent, collaborative design workflow for designers and their stakeholders. In 2017, we commenced a program to incentivize maintenance plan customers to move to subscription plan offerings, maintenance-to-subscription (“M2S”), while at the same time increasing maintenance plan pricing over time for customers that remain on maintenance plans. As a result of this shift, a substantial majority of our customers have converted to subscription plan offerings and we will be retiring all remaining maintenance plan offerings as of May 7, 2021. Additionally, in order 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40"/>
        <w:spacing w:after="0" w:line="325" w:lineRule="auto"/>
        <w:rPr>
          <w:sz w:val="20"/>
          <w:szCs w:val="20"/>
          <w:color w:val="auto"/>
        </w:rPr>
      </w:pPr>
      <w:r>
        <w:rPr>
          <w:rFonts w:ascii="Arial" w:cs="Arial" w:eastAsia="Arial" w:hAnsi="Arial"/>
          <w:sz w:val="16"/>
          <w:szCs w:val="16"/>
          <w:color w:val="auto"/>
        </w:rPr>
        <w:t>offer better service to our customers, we are transitioning our existing customers from serial numbers to named users. We completed the migration of our single-user subscriptions from serial numbers in fiscal 2021 and are transitioning multi-user subscriptions to named users through August 2023.</w:t>
      </w:r>
    </w:p>
    <w:p>
      <w:pPr>
        <w:spacing w:after="0" w:line="161" w:lineRule="exact"/>
        <w:rPr>
          <w:sz w:val="20"/>
          <w:szCs w:val="20"/>
          <w:color w:val="auto"/>
        </w:rPr>
      </w:pPr>
    </w:p>
    <w:p>
      <w:pPr>
        <w:ind w:right="80" w:firstLine="435"/>
        <w:spacing w:after="0" w:line="270" w:lineRule="auto"/>
        <w:rPr>
          <w:sz w:val="20"/>
          <w:szCs w:val="20"/>
          <w:color w:val="auto"/>
        </w:rPr>
      </w:pPr>
      <w:r>
        <w:rPr>
          <w:rFonts w:ascii="Arial" w:cs="Arial" w:eastAsia="Arial" w:hAnsi="Arial"/>
          <w:sz w:val="16"/>
          <w:szCs w:val="16"/>
          <w:color w:val="auto"/>
        </w:rPr>
        <w:t>We dedicate considerable technical and financial resources to research and development to deliver additional automation and insights to our customers through artificial intelligence, machine learning, and generative design, which increase efficiency and sustainability and reduce waste. These investments further enhance our existing products and create new solutions and technologies which connect the workflows and data of our customers across the ecosystem of their projects and expand our market opportunity. Our tools connect and automate the phases of design and creation, enabling greater collaboration and the seamless flow of data for individuals and teams across all phases.</w:t>
      </w:r>
    </w:p>
    <w:p>
      <w:pPr>
        <w:spacing w:after="0" w:line="192" w:lineRule="exact"/>
        <w:rPr>
          <w:sz w:val="20"/>
          <w:szCs w:val="20"/>
          <w:color w:val="auto"/>
        </w:rPr>
      </w:pPr>
    </w:p>
    <w:p>
      <w:pPr>
        <w:ind w:right="280" w:firstLine="435"/>
        <w:spacing w:after="0" w:line="264" w:lineRule="auto"/>
        <w:rPr>
          <w:sz w:val="20"/>
          <w:szCs w:val="20"/>
          <w:color w:val="auto"/>
        </w:rPr>
      </w:pPr>
      <w:r>
        <w:rPr>
          <w:rFonts w:ascii="Arial" w:cs="Arial" w:eastAsia="Arial" w:hAnsi="Arial"/>
          <w:sz w:val="16"/>
          <w:szCs w:val="16"/>
          <w:color w:val="auto"/>
        </w:rPr>
        <w:t>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to ensure that we are generating sufficient revenue or gaining a competitive advantage to justify their costs.</w:t>
      </w:r>
    </w:p>
    <w:p>
      <w:pPr>
        <w:ind w:right="60" w:firstLine="435"/>
        <w:spacing w:after="0" w:line="245"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Canada, and the United Kingdom.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Russian, Japanese, Korean, and simplified and traditional Chinese.</w:t>
      </w:r>
    </w:p>
    <w:p>
      <w:pPr>
        <w:spacing w:after="0" w:line="222" w:lineRule="exact"/>
        <w:rPr>
          <w:sz w:val="20"/>
          <w:szCs w:val="20"/>
          <w:color w:val="auto"/>
        </w:rPr>
      </w:pPr>
    </w:p>
    <w:p>
      <w:pPr>
        <w:ind w:right="420" w:firstLine="435"/>
        <w:spacing w:after="0" w:line="250"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47" w:lineRule="exact"/>
        <w:rPr>
          <w:sz w:val="20"/>
          <w:szCs w:val="20"/>
          <w:color w:val="auto"/>
        </w:rPr>
      </w:pPr>
    </w:p>
    <w:p>
      <w:pPr>
        <w:ind w:right="20" w:firstLine="435"/>
        <w:spacing w:after="0" w:line="249" w:lineRule="auto"/>
        <w:rPr>
          <w:sz w:val="20"/>
          <w:szCs w:val="20"/>
          <w:color w:val="auto"/>
        </w:rPr>
      </w:pPr>
      <w:r>
        <w:rPr>
          <w:rFonts w:ascii="Arial" w:cs="Arial" w:eastAsia="Arial" w:hAnsi="Arial"/>
          <w:sz w:val="18"/>
          <w:szCs w:val="18"/>
          <w:color w:val="auto"/>
        </w:rPr>
        <w:t>We sell our products and services globally, primarily through indirect channels consisting of distributors and resellers. To a lesser extent we also transact directly with our enterprise and named account customers and with customers through our online Autodesk branded store. Our indirect channel model includes both a two-tiered distribution structure, where distributors sell to resellers, and a one-tiered structure, where Autodesk sells directly to resellers. We have a network of approximately 1,700 resellers and distributors worldwide. For fiscal 2021, approximately 69% of our revenue was derived from indirect channel sales through distributors and resellers.</w:t>
      </w:r>
    </w:p>
    <w:p>
      <w:pPr>
        <w:spacing w:after="0" w:line="192"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We anticipate that our channel mix will continue to change, particularly as we scale our online Autodesk branded store business and our largest accounts shift towards direct-only business models. Importantly, we expect that the majority of our revenue will continue to be derived from indirect channel sales in the near future. We employ a variety of incentive programs and promotions to align our reseller channel with our business strategies. 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92" w:lineRule="exact"/>
        <w:rPr>
          <w:sz w:val="20"/>
          <w:szCs w:val="20"/>
          <w:color w:val="auto"/>
        </w:rPr>
      </w:pPr>
    </w:p>
    <w:p>
      <w:pPr>
        <w:ind w:right="40" w:firstLine="396"/>
        <w:spacing w:after="0" w:line="247" w:lineRule="auto"/>
        <w:rPr>
          <w:sz w:val="20"/>
          <w:szCs w:val="20"/>
          <w:color w:val="auto"/>
        </w:rPr>
      </w:pPr>
      <w:r>
        <w:rPr>
          <w:rFonts w:ascii="Arial" w:cs="Arial" w:eastAsia="Arial" w:hAnsi="Arial"/>
          <w:sz w:val="18"/>
          <w:szCs w:val="18"/>
          <w:color w:val="auto"/>
        </w:rPr>
        <w:t>Sales through our largest distributor, Tech Data Corporation and its global affiliates (collectively, “Tech Data”), accounted for 37% of our net revenue for the fiscal year ended January 31, 2021, and 35% of our net revenue for both fiscal years ended January 31, 2020 and 2019. Ingram Micro Inc. (“Ingram Micro”), our second-largest distributor, accounted for 10% of Autodesk's total net revenue for both fiscal years ended January 31, 2021 and 2020, and 11% of Autodesk's total net revenue for fiscal year ended January 31, 2019. We believe our business is not substantially dependent on either Tech Data or Ingram Micro. Should any of the agreements between us and Tech Data or Ingram Micro be terminated for any reason, we believe the resellers and end users who currently purchase our products through Tech Data or Ingram Micro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435"/>
        <w:spacing w:after="0" w:line="285"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spacing w:after="0" w:line="193"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86" w:lineRule="exact"/>
        <w:rPr>
          <w:sz w:val="20"/>
          <w:szCs w:val="20"/>
          <w:color w:val="auto"/>
        </w:rPr>
      </w:pPr>
    </w:p>
    <w:p>
      <w:pPr>
        <w:ind w:right="20" w:firstLine="435"/>
        <w:spacing w:after="0" w:line="281" w:lineRule="auto"/>
        <w:rPr>
          <w:sz w:val="20"/>
          <w:szCs w:val="20"/>
          <w:color w:val="auto"/>
        </w:rPr>
      </w:pPr>
      <w:r>
        <w:rPr>
          <w:rFonts w:ascii="Arial" w:cs="Arial" w:eastAsia="Arial" w:hAnsi="Arial"/>
          <w:sz w:val="16"/>
          <w:szCs w:val="16"/>
          <w:color w:val="auto"/>
        </w:rPr>
        <w:t>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(“EBAs”). Historically, we have had increased EBAs sale activity in our fourth fiscal quarter. This seasonality may not have an immediate impact on our revenue as we recognize subscription revenue over the term of the contract. This seasonality may also affect the relative value of our billings, RPO, and collections in the fourth and first fiscal quarters. With the discontinuation of the sale of perpetual licenses, we have transitioned away from selling a mix of perpetual licenses and maintenance plans in favor of a consolidated subscription model. However, our customers who have previously purchased a perpetual use license for the most recent version of the underlying product are able to renew a previously purchased maintenance plan, until maintenance offerings are retired as of May 7, 2021, that provides them with unspecified upgrades when and if available, and receive online support during the term of their maintenance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47" w:lineRule="exact"/>
        <w:rPr>
          <w:sz w:val="20"/>
          <w:szCs w:val="20"/>
          <w:color w:val="auto"/>
        </w:rPr>
      </w:pPr>
    </w:p>
    <w:p>
      <w:pPr>
        <w:ind w:right="20" w:firstLine="435"/>
        <w:spacing w:after="0" w:line="285"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second-tier support to the resellers and distributors. Other customers are supported directly via self-service using the Autodesk Knowledge Network, which guides customers to answers in our online support assets, support forums, or webinars, or to support representatives using different modalities such as social media, phone, email, and webchat. We also support our resellers and distributors through technical product training, sales training classes, webinars, and other knowledge-sharing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PROGRAMS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Impact at Autodesk</w:t>
      </w:r>
    </w:p>
    <w:p>
      <w:pPr>
        <w:spacing w:after="0" w:line="241"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To help our customers imagine, design, and make a better world, we focus our environmental, social, and governance efforts on the outcomes where we can drive the greatest positive impact; partnering with our customers and enabling their sustainable practices through our products, catalyzing industry action by delivering free learning and training resources and providing software grants and support to qualifying nonprofits and entrepreneurs, and leading by example with our business practices and with our employees. Through our products and services, we partner with our customers to help them better understand and improve the environmental, energy, and materials performance of everything they make, help them make products, buildings, and entire cities that foster healthy and resilient communities, and help them adapt, grow, and prosper alongside increasing levels of automation.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41" w:lineRule="exact"/>
        <w:rPr>
          <w:sz w:val="20"/>
          <w:szCs w:val="20"/>
          <w:color w:val="auto"/>
        </w:rPr>
      </w:pPr>
    </w:p>
    <w:p>
      <w:pPr>
        <w:ind w:right="240" w:firstLine="396"/>
        <w:spacing w:after="0" w:line="250" w:lineRule="auto"/>
        <w:rPr>
          <w:sz w:val="20"/>
          <w:szCs w:val="20"/>
          <w:color w:val="auto"/>
        </w:rPr>
      </w:pPr>
      <w:r>
        <w:rPr>
          <w:rFonts w:ascii="Arial" w:cs="Arial" w:eastAsia="Arial" w:hAnsi="Arial"/>
          <w:sz w:val="18"/>
          <w:szCs w:val="18"/>
          <w:color w:val="auto"/>
        </w:rPr>
        <w:t>Autodesk is committed to helping fuel a lifelong passion for design and making among students of all ages, both within and outside the classroom. We offer free educational licenses of Autodesk’s professional software to students, educators, and accredited educational institutions worldwide. We inspire and support beginners with Tinkercad, a simple online 3D design and 3D printing tool. Through Autodesk Design Academy, we provide secondary and post-secondary schools hundreds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and projects are available on our Instructables website for anyone looking to expand their “making” skills. In November 2020, we launched a credential program, which empowers current and future Autodesk customers to learn in-demand toolsets, skillsets, and mindsets, while earning credentials that demonstrate their job readiness. We offer self-paced, modular learning through a range of skill levels, roles, and career ambitions, helping professionals demonstrate and apply relevant knowledge, step into emerging roles, and stay at the forefront of their industry. Our intention is to make Autodesk software ubiquitous and the design and making software of choice for those poised to become the next generation of professional users.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696D7"/>
        </w:rPr>
        <w:t>Climate Change</w:t>
      </w:r>
    </w:p>
    <w:p>
      <w:pPr>
        <w:spacing w:after="0" w:line="241" w:lineRule="exact"/>
        <w:rPr>
          <w:sz w:val="20"/>
          <w:szCs w:val="20"/>
          <w:color w:val="auto"/>
        </w:rPr>
      </w:pPr>
    </w:p>
    <w:p>
      <w:pPr>
        <w:ind w:right="100" w:firstLine="396"/>
        <w:spacing w:after="0" w:line="292" w:lineRule="auto"/>
        <w:rPr>
          <w:sz w:val="20"/>
          <w:szCs w:val="20"/>
          <w:color w:val="auto"/>
        </w:rPr>
      </w:pPr>
      <w:r>
        <w:rPr>
          <w:rFonts w:ascii="Arial" w:cs="Arial" w:eastAsia="Arial" w:hAnsi="Arial"/>
          <w:sz w:val="16"/>
          <w:szCs w:val="16"/>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41" w:lineRule="exact"/>
        <w:rPr>
          <w:sz w:val="20"/>
          <w:szCs w:val="20"/>
          <w:color w:val="auto"/>
        </w:rPr>
      </w:pPr>
    </w:p>
    <w:p>
      <w:pPr>
        <w:ind w:right="40" w:firstLine="396"/>
        <w:spacing w:after="0" w:line="249" w:lineRule="auto"/>
        <w:rPr>
          <w:sz w:val="20"/>
          <w:szCs w:val="20"/>
          <w:color w:val="auto"/>
        </w:rPr>
      </w:pPr>
      <w:r>
        <w:rPr>
          <w:rFonts w:ascii="Arial" w:cs="Arial" w:eastAsia="Arial" w:hAnsi="Arial"/>
          <w:sz w:val="18"/>
          <w:szCs w:val="18"/>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early-stage entrepreneurs, nonprofit organizations, and start-up companies who are designing clean technologies. We are expanding these offerings based upon demand and opportunity in response to challenges posed by climate change.</w:t>
      </w:r>
    </w:p>
    <w:p>
      <w:pPr>
        <w:spacing w:after="0" w:line="219" w:lineRule="exact"/>
        <w:rPr>
          <w:sz w:val="20"/>
          <w:szCs w:val="20"/>
          <w:color w:val="auto"/>
        </w:rPr>
      </w:pPr>
    </w:p>
    <w:p>
      <w:pPr>
        <w:ind w:right="120" w:firstLine="396"/>
        <w:spacing w:after="0" w:line="250"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and disaster management and recovery strategies. In fiscal 2020, we attained our science-based greenhouse gas reduction target of 43% emissions reduced since fiscal 2009 and we have announced a new commitment to being net-zero emissions by the end of fiscal 2021. Our assured results on this new commitment will be published in our fiscal 2021 impact report.</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41"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By end of fiscal 2020, Autodesk had reduced its net greenhouse gas emissions for its operational boundary by 43% from our fiscal year 2009 baseline to 172,000 metric tons of carbon dioxide equivalent. This reduction was accomplished through increased investment in renewable energy and energy efficiency in our global real estate portfolio and investments with our customers to create carbon avoidance projects that generate verified emission reduction credits. More information about our sustainability commitment can be found in our annual impact reports, which we have published on our website since 2008. Our fiscal 2021 impact report will be published in the second quarter of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41" w:lineRule="exact"/>
        <w:rPr>
          <w:sz w:val="20"/>
          <w:szCs w:val="20"/>
          <w:color w:val="auto"/>
        </w:rPr>
      </w:pPr>
    </w:p>
    <w:p>
      <w:pPr>
        <w:ind w:right="20" w:firstLine="435"/>
        <w:spacing w:after="0" w:line="305" w:lineRule="auto"/>
        <w:rPr>
          <w:sz w:val="20"/>
          <w:szCs w:val="20"/>
          <w:color w:val="auto"/>
        </w:rPr>
      </w:pPr>
      <w:r>
        <w:rPr>
          <w:rFonts w:ascii="Arial" w:cs="Arial" w:eastAsia="Arial" w:hAnsi="Arial"/>
          <w:sz w:val="15"/>
          <w:szCs w:val="15"/>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 In fiscal 2020, Autodesk committed to target 1% of annual operating margin for the long-term support of the Autodesk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47" w:lineRule="exact"/>
        <w:rPr>
          <w:sz w:val="20"/>
          <w:szCs w:val="20"/>
          <w:color w:val="auto"/>
        </w:rPr>
      </w:pPr>
    </w:p>
    <w:p>
      <w:pPr>
        <w:ind w:right="60" w:firstLine="435"/>
        <w:spacing w:after="0" w:line="282" w:lineRule="auto"/>
        <w:rPr>
          <w:sz w:val="20"/>
          <w:szCs w:val="20"/>
          <w:color w:val="auto"/>
        </w:rPr>
      </w:pPr>
      <w:r>
        <w:rPr>
          <w:rFonts w:ascii="Arial" w:cs="Arial" w:eastAsia="Arial" w:hAnsi="Arial"/>
          <w:sz w:val="16"/>
          <w:szCs w:val="16"/>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created a web services platform, Autodesk Forge, which includes web services that enable software developers to rapidly develop the next generation of applications and experiences that will power the future of making things. Forge facilitates the development of a single connected ecosystem for integrating Autodesk applications with other enterprise, web, and mobile solutions.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219"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Our competitors include large, global, publicly traded companies; small, geographically focused firms; startup firms; and solutions produced in-house by their users. Our primary global competitors include Adobe Systems Incorporated, AVEVA Group plc,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spacing w:after="0" w:line="186" w:lineRule="exact"/>
        <w:rPr>
          <w:sz w:val="20"/>
          <w:szCs w:val="20"/>
          <w:color w:val="auto"/>
        </w:rPr>
      </w:pPr>
    </w:p>
    <w:p>
      <w:pPr>
        <w:ind w:right="200" w:firstLine="435"/>
        <w:spacing w:after="0" w:line="281"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98" w:lineRule="exact"/>
        <w:rPr>
          <w:sz w:val="20"/>
          <w:szCs w:val="20"/>
          <w:color w:val="auto"/>
        </w:rPr>
      </w:pPr>
    </w:p>
    <w:p>
      <w:pPr>
        <w:ind w:right="40" w:firstLine="435"/>
        <w:spacing w:after="0" w:line="300"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47" w:lineRule="exact"/>
        <w:rPr>
          <w:sz w:val="20"/>
          <w:szCs w:val="20"/>
          <w:color w:val="auto"/>
        </w:rPr>
      </w:pPr>
    </w:p>
    <w:p>
      <w:pPr>
        <w:ind w:right="160" w:firstLine="435"/>
        <w:spacing w:after="0" w:line="292"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86" w:lineRule="exact"/>
        <w:rPr>
          <w:sz w:val="20"/>
          <w:szCs w:val="20"/>
          <w:color w:val="auto"/>
        </w:rPr>
      </w:pPr>
    </w:p>
    <w:p>
      <w:pPr>
        <w:ind w:right="100" w:firstLine="435"/>
        <w:spacing w:after="0" w:line="253"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property rights against alleged infringers can sometimes lead to costly litigation and counterclaims. Our inability to protect our proprietary information could harm our business.</w:t>
      </w:r>
    </w:p>
    <w:p>
      <w:pPr>
        <w:spacing w:after="0" w:line="208" w:lineRule="exact"/>
        <w:rPr>
          <w:sz w:val="20"/>
          <w:szCs w:val="20"/>
          <w:color w:val="auto"/>
        </w:rPr>
      </w:pPr>
    </w:p>
    <w:p>
      <w:pPr>
        <w:ind w:right="280" w:firstLine="435"/>
        <w:spacing w:after="0" w:line="253"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216" w:lineRule="exact"/>
        <w:rPr>
          <w:sz w:val="20"/>
          <w:szCs w:val="20"/>
          <w:color w:val="auto"/>
        </w:rPr>
      </w:pPr>
    </w:p>
    <w:p>
      <w:pPr>
        <w:ind w:right="60" w:firstLine="435"/>
        <w:spacing w:after="0" w:line="300" w:lineRule="auto"/>
        <w:rPr>
          <w:sz w:val="20"/>
          <w:szCs w:val="20"/>
          <w:color w:val="auto"/>
        </w:rPr>
      </w:pPr>
      <w:r>
        <w:rPr>
          <w:rFonts w:ascii="Arial" w:cs="Arial" w:eastAsia="Arial" w:hAnsi="Arial"/>
          <w:sz w:val="16"/>
          <w:szCs w:val="16"/>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81" w:lineRule="exact"/>
        <w:rPr>
          <w:sz w:val="20"/>
          <w:szCs w:val="20"/>
          <w:color w:val="auto"/>
        </w:rPr>
      </w:pPr>
    </w:p>
    <w:p>
      <w:pPr>
        <w:ind w:right="60" w:firstLine="435"/>
        <w:spacing w:after="0" w:line="253"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216" w:lineRule="exact"/>
        <w:rPr>
          <w:sz w:val="20"/>
          <w:szCs w:val="20"/>
          <w:color w:val="auto"/>
        </w:rPr>
      </w:pPr>
    </w:p>
    <w:p>
      <w:pPr>
        <w:ind w:right="60" w:firstLine="435"/>
        <w:spacing w:after="0" w:line="316" w:lineRule="auto"/>
        <w:rPr>
          <w:sz w:val="20"/>
          <w:szCs w:val="20"/>
          <w:color w:val="auto"/>
        </w:rPr>
      </w:pPr>
      <w:r>
        <w:rPr>
          <w:rFonts w:ascii="Arial" w:cs="Arial" w:eastAsia="Arial" w:hAnsi="Arial"/>
          <w:sz w:val="15"/>
          <w:szCs w:val="15"/>
          <w:color w:val="auto"/>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spacing w:after="0" w:line="173"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47" w:lineRule="exact"/>
        <w:rPr>
          <w:sz w:val="20"/>
          <w:szCs w:val="20"/>
          <w:color w:val="auto"/>
        </w:rPr>
      </w:pPr>
    </w:p>
    <w:p>
      <w:pPr>
        <w:ind w:right="20" w:firstLine="435"/>
        <w:spacing w:after="0" w:line="282" w:lineRule="auto"/>
        <w:rPr>
          <w:sz w:val="20"/>
          <w:szCs w:val="20"/>
          <w:color w:val="auto"/>
        </w:rPr>
      </w:pPr>
      <w:r>
        <w:rPr>
          <w:rFonts w:ascii="Arial" w:cs="Arial" w:eastAsia="Arial" w:hAnsi="Arial"/>
          <w:sz w:val="16"/>
          <w:szCs w:val="16"/>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w:t>
      </w:r>
    </w:p>
    <w:p>
      <w:pPr>
        <w:spacing w:after="0" w:line="247" w:lineRule="exact"/>
        <w:rPr>
          <w:sz w:val="20"/>
          <w:szCs w:val="20"/>
          <w:color w:val="auto"/>
        </w:rPr>
      </w:pPr>
    </w:p>
    <w:p>
      <w:pPr>
        <w:ind w:right="40" w:firstLine="475"/>
        <w:spacing w:after="0" w:line="266" w:lineRule="auto"/>
        <w:rPr>
          <w:sz w:val="20"/>
          <w:szCs w:val="20"/>
          <w:color w:val="auto"/>
        </w:rPr>
      </w:pPr>
      <w:r>
        <w:rPr>
          <w:rFonts w:ascii="Arial" w:cs="Arial" w:eastAsia="Arial" w:hAnsi="Arial"/>
          <w:sz w:val="16"/>
          <w:szCs w:val="16"/>
          <w:color w:val="auto"/>
        </w:rPr>
        <w:t>Our employees play a central role in the success of our long-term strategy. Autodesk’s Culture Code defines values and behaviors that support our commitment to being a customer company, where each employee takes responsibility for understanding our customers’ needs, expectations, and experiences. As of January 31, 2021, we employed approximately 11,500 people, an increase from approximately 10,100 employees as of the end of fiscal year 2020. None of our employees in the United States are represented by a labor union. In certain foreign countries, our employees are represented by trade unions or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Diversity and Belonging</w:t>
      </w:r>
    </w:p>
    <w:p>
      <w:pPr>
        <w:spacing w:after="0" w:line="241" w:lineRule="exact"/>
        <w:rPr>
          <w:sz w:val="20"/>
          <w:szCs w:val="20"/>
          <w:color w:val="auto"/>
        </w:rPr>
      </w:pPr>
    </w:p>
    <w:p>
      <w:pPr>
        <w:ind w:right="120" w:firstLine="475"/>
        <w:spacing w:after="0" w:line="270" w:lineRule="auto"/>
        <w:rPr>
          <w:sz w:val="20"/>
          <w:szCs w:val="20"/>
          <w:color w:val="auto"/>
        </w:rPr>
      </w:pPr>
      <w:r>
        <w:rPr>
          <w:rFonts w:ascii="Arial" w:cs="Arial" w:eastAsia="Arial" w:hAnsi="Arial"/>
          <w:sz w:val="16"/>
          <w:szCs w:val="16"/>
          <w:color w:val="auto"/>
        </w:rPr>
        <w:t>Autodesk is committed to building and maintaining a diverse workforce and a culture of belonging that welcomes people from all backgrounds, perspectives, and beliefs. We have developed a holistic, updated global Diversity and Belonging (“D&amp;B”) strategy, which began with inviting employees representing all levels, regions, organizations, and a rich mix of demographics, to join focus groups to share their feedback, ideas, and experiences. Our D&amp;B strategy includes a variety of activities, such as inclusive leadership training for all people managers and senior employees, hiring manager and interview classes that include training on mitigating bias and inclusive practices, and a D&amp;B speaker series featuring leaders from a range of disciplines.</w:t>
      </w:r>
    </w:p>
    <w:p>
      <w:pPr>
        <w:spacing w:after="0" w:line="192" w:lineRule="exact"/>
        <w:rPr>
          <w:sz w:val="20"/>
          <w:szCs w:val="20"/>
          <w:color w:val="auto"/>
        </w:rPr>
      </w:pPr>
    </w:p>
    <w:p>
      <w:pPr>
        <w:ind w:right="140" w:firstLine="396"/>
        <w:spacing w:after="0" w:line="236" w:lineRule="auto"/>
        <w:rPr>
          <w:sz w:val="20"/>
          <w:szCs w:val="20"/>
          <w:color w:val="auto"/>
        </w:rPr>
      </w:pPr>
      <w:r>
        <w:rPr>
          <w:rFonts w:ascii="Arial" w:cs="Arial" w:eastAsia="Arial" w:hAnsi="Arial"/>
          <w:sz w:val="18"/>
          <w:szCs w:val="18"/>
          <w:color w:val="auto"/>
        </w:rPr>
        <w:t>To help us build a more diverse workforce, we have continued to invest in our diversity partnerships. We partner with educational institutions such as Hispanic-Serving Institutions and Historically Black Colleges and Universities, and professional organizations around the globe supporting underrepresented groups in technology. We provide a variety of scholarships, internship programs, mentoring and development partnerships, and program support to organizations focused on women and underrepresented groups.</w:t>
      </w:r>
    </w:p>
    <w:p>
      <w:pPr>
        <w:spacing w:after="0" w:line="215" w:lineRule="exact"/>
        <w:rPr>
          <w:sz w:val="20"/>
          <w:szCs w:val="20"/>
          <w:color w:val="auto"/>
        </w:rPr>
      </w:pPr>
    </w:p>
    <w:p>
      <w:pPr>
        <w:ind w:right="20" w:firstLine="396"/>
        <w:spacing w:after="0" w:line="274" w:lineRule="auto"/>
        <w:rPr>
          <w:sz w:val="20"/>
          <w:szCs w:val="20"/>
          <w:color w:val="auto"/>
        </w:rPr>
      </w:pPr>
      <w:r>
        <w:rPr>
          <w:rFonts w:ascii="Arial" w:cs="Arial" w:eastAsia="Arial" w:hAnsi="Arial"/>
          <w:sz w:val="16"/>
          <w:szCs w:val="16"/>
          <w:color w:val="auto"/>
        </w:rPr>
        <w:t>We also have an Emerging Leaders Program which is focused on developing a diverse cohort of leaders through professional development, mentoring, and networking opportunities. In addition, we provide ongoing development opportunities, such as the Autodesk Mentorship Program, which provides one-on-one mentorship relationships. Autodesk has seven employee resource groups (“ERGs”), which are employee-led groups that bring employees together based on common backgrounds or diversity characteristics, to foster a sense of belonging and connection.</w:t>
      </w:r>
    </w:p>
    <w:p>
      <w:pPr>
        <w:spacing w:after="0" w:line="189" w:lineRule="exact"/>
        <w:rPr>
          <w:sz w:val="20"/>
          <w:szCs w:val="20"/>
          <w:color w:val="auto"/>
        </w:rPr>
      </w:pPr>
    </w:p>
    <w:p>
      <w:pPr>
        <w:ind w:firstLine="475"/>
        <w:spacing w:after="0" w:line="247" w:lineRule="auto"/>
        <w:rPr>
          <w:sz w:val="20"/>
          <w:szCs w:val="20"/>
          <w:color w:val="auto"/>
        </w:rPr>
      </w:pPr>
      <w:r>
        <w:rPr>
          <w:rFonts w:ascii="Arial" w:cs="Arial" w:eastAsia="Arial" w:hAnsi="Arial"/>
          <w:sz w:val="18"/>
          <w:szCs w:val="18"/>
          <w:color w:val="auto"/>
        </w:rPr>
        <w:t>Additional information on our D&amp;B program, initiatives, and metrics can be found on our website at https://www.autodesk.com/company/diversity-and-inclusion.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Professional Development and Employee Impact</w:t>
      </w:r>
    </w:p>
    <w:p>
      <w:pPr>
        <w:spacing w:after="0" w:line="228" w:lineRule="exact"/>
        <w:rPr>
          <w:sz w:val="20"/>
          <w:szCs w:val="20"/>
          <w:color w:val="auto"/>
        </w:rPr>
      </w:pPr>
    </w:p>
    <w:p>
      <w:pPr>
        <w:jc w:val="both"/>
        <w:ind w:right="240" w:firstLine="475"/>
        <w:spacing w:after="0" w:line="283" w:lineRule="auto"/>
        <w:rPr>
          <w:sz w:val="20"/>
          <w:szCs w:val="20"/>
          <w:color w:val="auto"/>
        </w:rPr>
      </w:pPr>
      <w:r>
        <w:rPr>
          <w:rFonts w:ascii="Arial" w:cs="Arial" w:eastAsia="Arial" w:hAnsi="Arial"/>
          <w:sz w:val="16"/>
          <w:szCs w:val="16"/>
          <w:color w:val="auto"/>
        </w:rPr>
        <w:t>We believe career development plays an important role in keeping our employees engaged and to provide additional opportunities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spacing w:after="0" w:line="180" w:lineRule="exact"/>
        <w:rPr>
          <w:sz w:val="20"/>
          <w:szCs w:val="20"/>
          <w:color w:val="auto"/>
        </w:rPr>
      </w:pPr>
    </w:p>
    <w:p>
      <w:pPr>
        <w:ind w:right="120" w:firstLine="475"/>
        <w:spacing w:after="0" w:line="308" w:lineRule="auto"/>
        <w:rPr>
          <w:sz w:val="20"/>
          <w:szCs w:val="20"/>
          <w:color w:val="auto"/>
        </w:rPr>
      </w:pPr>
      <w:r>
        <w:rPr>
          <w:rFonts w:ascii="Arial" w:cs="Arial" w:eastAsia="Arial" w:hAnsi="Arial"/>
          <w:sz w:val="16"/>
          <w:szCs w:val="16"/>
          <w:color w:val="auto"/>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Total Rewards</w:t>
      </w:r>
    </w:p>
    <w:p>
      <w:pPr>
        <w:spacing w:after="0" w:line="228" w:lineRule="exact"/>
        <w:rPr>
          <w:sz w:val="20"/>
          <w:szCs w:val="20"/>
          <w:color w:val="auto"/>
        </w:rPr>
      </w:pPr>
    </w:p>
    <w:p>
      <w:pPr>
        <w:ind w:right="20" w:firstLine="475"/>
        <w:spacing w:after="0" w:line="268" w:lineRule="auto"/>
        <w:rPr>
          <w:sz w:val="20"/>
          <w:szCs w:val="20"/>
          <w:color w:val="auto"/>
        </w:rPr>
      </w:pPr>
      <w:r>
        <w:rPr>
          <w:rFonts w:ascii="Arial" w:cs="Arial" w:eastAsia="Arial" w:hAnsi="Arial"/>
          <w:sz w:val="16"/>
          <w:szCs w:val="16"/>
          <w:color w:val="auto"/>
        </w:rPr>
        <w:t>To attract, retain, and support our highly qualified employees, we offer competitive compensation and benefits, which include an element of choice to meet the needs of our diverse and global population. In addition to base pay and opportunities to receive short- and long-term incentives, we have an employee stock purchase plan, and retirement and other financial support. In addition to comprehensive health insurance and wellness benefits, we have a generous time off program, including sabbatical, financial tools and education, and an employee assistance program. This past fiscal year, we made changes to our equity strategy, expanding our grant program eligibility for new hires and existing employees. As part of this strategy, we made a one-time equity grant to all regular employees with no unvested equity to align all employees to the long-term success of the company and encourage an owner mindset.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COVID-19</w:t>
      </w:r>
    </w:p>
    <w:p>
      <w:pPr>
        <w:spacing w:after="0" w:line="228" w:lineRule="exact"/>
        <w:rPr>
          <w:sz w:val="20"/>
          <w:szCs w:val="20"/>
          <w:color w:val="auto"/>
        </w:rPr>
      </w:pPr>
    </w:p>
    <w:p>
      <w:pPr>
        <w:ind w:right="220" w:firstLine="475"/>
        <w:spacing w:after="0" w:line="236" w:lineRule="auto"/>
        <w:rPr>
          <w:sz w:val="20"/>
          <w:szCs w:val="20"/>
          <w:color w:val="auto"/>
        </w:rPr>
      </w:pPr>
      <w:r>
        <w:rPr>
          <w:rFonts w:ascii="Arial" w:cs="Arial" w:eastAsia="Arial" w:hAnsi="Arial"/>
          <w:sz w:val="18"/>
          <w:szCs w:val="18"/>
          <w:color w:val="auto"/>
        </w:rPr>
        <w:t>In response to the COVID-19 pandemic, we supported our employees by adopting remote work and providing reimbursements to employees to equip their home offices, unlimited videoconferencing access to gather virtually with friends and family, and additional company holidays in recognition of the unusual demands of the working environment during the pandemic. The Autodesk Foundation encouraged employee impact through an expanded 2:1 match for all eligible COVID-19-related donations.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47" w:lineRule="exact"/>
        <w:rPr>
          <w:sz w:val="20"/>
          <w:szCs w:val="20"/>
          <w:color w:val="auto"/>
        </w:rPr>
      </w:pPr>
    </w:p>
    <w:p>
      <w:pPr>
        <w:ind w:right="40" w:firstLine="396"/>
        <w:spacing w:after="0" w:line="300" w:lineRule="auto"/>
        <w:rPr>
          <w:sz w:val="20"/>
          <w:szCs w:val="20"/>
          <w:color w:val="auto"/>
        </w:rPr>
      </w:pPr>
      <w:r>
        <w:rPr>
          <w:rFonts w:ascii="Arial" w:cs="Arial" w:eastAsia="Arial" w:hAnsi="Arial"/>
          <w:sz w:val="16"/>
          <w:szCs w:val="16"/>
          <w:color w:val="auto"/>
        </w:rPr>
        <w:t>Over the past three fiscal years, we acquired new technology or supplemented our existing technology by purchasing businesses or technology related assets focused in specific markets or industries. For the fiscal years ended January 31, 2021, 2020, and 2019, we acquired companies accounted for as business combinations. The following were significant acquisitions for fiscal years 2021, 2020, and 2019:</w:t>
      </w:r>
    </w:p>
    <w:p>
      <w:pPr>
        <w:sectPr>
          <w:pgSz w:w="11900" w:h="16838" w:orient="portrait"/>
          <w:cols w:equalWidth="0" w:num="1">
            <w:col w:w="11220"/>
          </w:cols>
          <w:pgMar w:left="320" w:top="127" w:right="359" w:bottom="1440" w:gutter="0" w:footer="0" w:header="0"/>
        </w:sectPr>
      </w:pPr>
    </w:p>
    <w:p>
      <w:pPr>
        <w:spacing w:after="0" w:line="29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Date of closing</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280" w:type="dxa"/>
            <w:vAlign w:val="bottom"/>
            <w:gridSpan w:val="3"/>
          </w:tcPr>
          <w:p>
            <w:pPr>
              <w:jc w:val="center"/>
              <w:ind w:right="260"/>
              <w:spacing w:after="0"/>
              <w:rPr>
                <w:sz w:val="20"/>
                <w:szCs w:val="20"/>
                <w:color w:val="auto"/>
              </w:rPr>
            </w:pPr>
            <w:r>
              <w:rPr>
                <w:rFonts w:ascii="Arial" w:cs="Arial" w:eastAsia="Arial" w:hAnsi="Arial"/>
                <w:sz w:val="16"/>
                <w:szCs w:val="16"/>
                <w:color w:val="auto"/>
                <w:w w:val="89"/>
              </w:rPr>
              <w:t>November 2020</w:t>
            </w:r>
          </w:p>
        </w:tc>
        <w:tc>
          <w:tcPr>
            <w:tcW w:w="2340" w:type="dxa"/>
            <w:vAlign w:val="bottom"/>
            <w:gridSpan w:val="3"/>
          </w:tcPr>
          <w:p>
            <w:pPr>
              <w:jc w:val="center"/>
              <w:ind w:left="181"/>
              <w:spacing w:after="0"/>
              <w:rPr>
                <w:sz w:val="20"/>
                <w:szCs w:val="20"/>
                <w:color w:val="auto"/>
              </w:rPr>
            </w:pPr>
            <w:r>
              <w:rPr>
                <w:rFonts w:ascii="Arial" w:cs="Arial" w:eastAsia="Arial" w:hAnsi="Arial"/>
                <w:sz w:val="16"/>
                <w:szCs w:val="16"/>
                <w:color w:val="auto"/>
                <w:w w:val="89"/>
              </w:rPr>
              <w:t>Spacemaker AS ("Spacemaker")</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86"/>
              </w:rPr>
              <w:t>January 2019</w:t>
            </w:r>
          </w:p>
        </w:tc>
        <w:tc>
          <w:tcPr>
            <w:tcW w:w="2340" w:type="dxa"/>
            <w:vAlign w:val="bottom"/>
            <w:gridSpan w:val="3"/>
          </w:tcPr>
          <w:p>
            <w:pPr>
              <w:jc w:val="center"/>
              <w:ind w:left="181"/>
              <w:spacing w:after="0"/>
              <w:rPr>
                <w:sz w:val="20"/>
                <w:szCs w:val="20"/>
                <w:color w:val="auto"/>
              </w:rPr>
            </w:pPr>
            <w:r>
              <w:rPr>
                <w:rFonts w:ascii="Arial" w:cs="Arial" w:eastAsia="Arial" w:hAnsi="Arial"/>
                <w:sz w:val="16"/>
                <w:szCs w:val="16"/>
                <w:color w:val="auto"/>
                <w:w w:val="92"/>
              </w:rPr>
              <w:t>BuildingConnected, Inc.</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340" w:type="dxa"/>
            <w:vAlign w:val="bottom"/>
            <w:gridSpan w:val="3"/>
            <w:vMerge w:val="restart"/>
          </w:tcPr>
          <w:p>
            <w:pPr>
              <w:jc w:val="center"/>
              <w:ind w:left="181"/>
              <w:spacing w:after="0"/>
              <w:rPr>
                <w:sz w:val="20"/>
                <w:szCs w:val="20"/>
                <w:color w:val="auto"/>
              </w:rPr>
            </w:pPr>
            <w:r>
              <w:rPr>
                <w:rFonts w:ascii="Arial" w:cs="Arial" w:eastAsia="Arial" w:hAnsi="Arial"/>
                <w:sz w:val="16"/>
                <w:szCs w:val="16"/>
                <w:color w:val="auto"/>
                <w:w w:val="94"/>
              </w:rPr>
              <w:t>("BuildingConnected")</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1280" w:type="dxa"/>
            <w:vAlign w:val="bottom"/>
            <w:gridSpan w:val="3"/>
          </w:tcPr>
          <w:p>
            <w:pPr>
              <w:jc w:val="center"/>
              <w:ind w:right="240"/>
              <w:spacing w:after="0"/>
              <w:rPr>
                <w:sz w:val="20"/>
                <w:szCs w:val="20"/>
                <w:color w:val="auto"/>
              </w:rPr>
            </w:pPr>
            <w:r>
              <w:rPr>
                <w:rFonts w:ascii="Arial" w:cs="Arial" w:eastAsia="Arial" w:hAnsi="Arial"/>
                <w:sz w:val="16"/>
                <w:szCs w:val="16"/>
                <w:color w:val="auto"/>
                <w:w w:val="87"/>
              </w:rPr>
              <w:t>December 2018</w:t>
            </w:r>
          </w:p>
        </w:tc>
        <w:tc>
          <w:tcPr>
            <w:tcW w:w="2340" w:type="dxa"/>
            <w:vAlign w:val="bottom"/>
            <w:gridSpan w:val="3"/>
          </w:tcPr>
          <w:p>
            <w:pPr>
              <w:jc w:val="center"/>
              <w:ind w:left="181"/>
              <w:spacing w:after="0"/>
              <w:rPr>
                <w:sz w:val="20"/>
                <w:szCs w:val="20"/>
                <w:color w:val="auto"/>
              </w:rPr>
            </w:pPr>
            <w:r>
              <w:rPr>
                <w:rFonts w:ascii="Arial" w:cs="Arial" w:eastAsia="Arial" w:hAnsi="Arial"/>
                <w:sz w:val="16"/>
                <w:szCs w:val="16"/>
                <w:color w:val="auto"/>
                <w:w w:val="92"/>
              </w:rPr>
              <w:t>PlanGrid, Inc. ("PlanGrid")</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6"/>
                <w:szCs w:val="16"/>
                <w:color w:val="auto"/>
                <w:w w:val="90"/>
              </w:rPr>
              <w:t>July 2018</w:t>
            </w:r>
          </w:p>
        </w:tc>
        <w:tc>
          <w:tcPr>
            <w:tcW w:w="2340" w:type="dxa"/>
            <w:vAlign w:val="bottom"/>
            <w:gridSpan w:val="3"/>
          </w:tcPr>
          <w:p>
            <w:pPr>
              <w:jc w:val="center"/>
              <w:ind w:left="181"/>
              <w:spacing w:after="0"/>
              <w:rPr>
                <w:sz w:val="20"/>
                <w:szCs w:val="20"/>
                <w:color w:val="auto"/>
              </w:rPr>
            </w:pPr>
            <w:r>
              <w:rPr>
                <w:rFonts w:ascii="Arial" w:cs="Arial" w:eastAsia="Arial" w:hAnsi="Arial"/>
                <w:sz w:val="16"/>
                <w:szCs w:val="16"/>
                <w:color w:val="auto"/>
                <w:w w:val="89"/>
              </w:rPr>
              <w:t>Assemble Systems, Inc.</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340" w:type="dxa"/>
            <w:vAlign w:val="bottom"/>
            <w:gridSpan w:val="3"/>
            <w:vMerge w:val="restart"/>
          </w:tcPr>
          <w:p>
            <w:pPr>
              <w:jc w:val="center"/>
              <w:ind w:left="181"/>
              <w:spacing w:after="0"/>
              <w:rPr>
                <w:sz w:val="20"/>
                <w:szCs w:val="20"/>
                <w:color w:val="auto"/>
              </w:rPr>
            </w:pPr>
            <w:r>
              <w:rPr>
                <w:rFonts w:ascii="Arial" w:cs="Arial" w:eastAsia="Arial" w:hAnsi="Arial"/>
                <w:sz w:val="16"/>
                <w:szCs w:val="16"/>
                <w:color w:val="auto"/>
                <w:w w:val="91"/>
              </w:rPr>
              <w:t>("Assemble Systems")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20955</wp:posOffset>
            </wp:positionV>
            <wp:extent cx="7135495" cy="234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234315"/>
                    </a:xfrm>
                    <a:prstGeom prst="rect">
                      <a:avLst/>
                    </a:prstGeom>
                    <a:noFill/>
                  </pic:spPr>
                </pic:pic>
              </a:graphicData>
            </a:graphic>
          </wp:anchor>
        </w:drawing>
      </w:r>
    </w:p>
    <w:p>
      <w:pPr>
        <w:spacing w:after="0" w:line="16" w:lineRule="exact"/>
        <w:rPr>
          <w:sz w:val="20"/>
          <w:szCs w:val="20"/>
          <w:color w:val="auto"/>
        </w:rPr>
      </w:pPr>
    </w:p>
    <w:p>
      <w:pPr>
        <w:jc w:val="center"/>
        <w:ind w:left="120"/>
        <w:spacing w:after="0" w:line="234" w:lineRule="auto"/>
        <w:rPr>
          <w:sz w:val="20"/>
          <w:szCs w:val="20"/>
          <w:color w:val="auto"/>
        </w:rPr>
      </w:pPr>
      <w:r>
        <w:rPr>
          <w:rFonts w:ascii="Arial" w:cs="Arial" w:eastAsia="Arial" w:hAnsi="Arial"/>
          <w:sz w:val="16"/>
          <w:szCs w:val="16"/>
          <w:color w:val="auto"/>
        </w:rPr>
        <w:t>The acquisition of Spacemaker strengthened and enabled Autodesk’s early-stage design and outcome-based design capabilities.</w:t>
      </w:r>
    </w:p>
    <w:p>
      <w:pPr>
        <w:spacing w:after="0" w:line="11" w:lineRule="exact"/>
        <w:rPr>
          <w:sz w:val="20"/>
          <w:szCs w:val="20"/>
          <w:color w:val="auto"/>
        </w:rPr>
      </w:pPr>
    </w:p>
    <w:p>
      <w:pPr>
        <w:jc w:val="center"/>
        <w:spacing w:after="0" w:line="234" w:lineRule="auto"/>
        <w:rPr>
          <w:sz w:val="20"/>
          <w:szCs w:val="20"/>
          <w:color w:val="auto"/>
        </w:rPr>
      </w:pPr>
      <w:r>
        <w:rPr>
          <w:rFonts w:ascii="Arial" w:cs="Arial" w:eastAsia="Arial" w:hAnsi="Arial"/>
          <w:sz w:val="16"/>
          <w:szCs w:val="16"/>
          <w:color w:val="auto"/>
        </w:rPr>
        <w:t>The acquisition of BuildingConnected enabled Autodesk to add bid-management capabilities to its construction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4445</wp:posOffset>
            </wp:positionV>
            <wp:extent cx="7135495" cy="234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234315"/>
                    </a:xfrm>
                    <a:prstGeom prst="rect">
                      <a:avLst/>
                    </a:prstGeom>
                    <a:noFill/>
                  </pic:spPr>
                </pic:pic>
              </a:graphicData>
            </a:graphic>
          </wp:anchor>
        </w:drawing>
      </w:r>
    </w:p>
    <w:p>
      <w:pPr>
        <w:jc w:val="center"/>
        <w:ind w:left="240"/>
        <w:spacing w:after="0" w:line="234" w:lineRule="auto"/>
        <w:rPr>
          <w:sz w:val="20"/>
          <w:szCs w:val="20"/>
          <w:color w:val="auto"/>
        </w:rPr>
      </w:pPr>
      <w:r>
        <w:rPr>
          <w:rFonts w:ascii="Arial" w:cs="Arial" w:eastAsia="Arial" w:hAnsi="Arial"/>
          <w:sz w:val="16"/>
          <w:szCs w:val="16"/>
          <w:color w:val="auto"/>
        </w:rPr>
        <w:t>The acquisition of PlanGrid enabled Autodesk to offer a more comprehensive, cloud-based construction platform.</w:t>
      </w:r>
    </w:p>
    <w:p>
      <w:pPr>
        <w:spacing w:after="0" w:line="11" w:lineRule="exact"/>
        <w:rPr>
          <w:sz w:val="20"/>
          <w:szCs w:val="20"/>
          <w:color w:val="auto"/>
        </w:rPr>
      </w:pPr>
    </w:p>
    <w:p>
      <w:pPr>
        <w:jc w:val="center"/>
        <w:ind w:left="20"/>
        <w:spacing w:after="0" w:line="259" w:lineRule="auto"/>
        <w:rPr>
          <w:sz w:val="20"/>
          <w:szCs w:val="20"/>
          <w:color w:val="auto"/>
        </w:rPr>
      </w:pPr>
      <w:r>
        <w:rPr>
          <w:rFonts w:ascii="Arial" w:cs="Arial" w:eastAsia="Arial" w:hAnsi="Arial"/>
          <w:sz w:val="15"/>
          <w:szCs w:val="15"/>
          <w:color w:val="auto"/>
        </w:rPr>
        <w:t>The acquisition of Assemble Systems enabled Autodesk's customers to influence, query and connect BIM data to key workflows across bid management, estimating, scheduling, site management and finance.</w:t>
      </w:r>
    </w:p>
    <w:p>
      <w:pPr>
        <w:spacing w:after="0" w:line="200" w:lineRule="exact"/>
        <w:rPr>
          <w:sz w:val="20"/>
          <w:szCs w:val="20"/>
          <w:color w:val="auto"/>
        </w:rPr>
      </w:pPr>
    </w:p>
    <w:p>
      <w:pPr>
        <w:sectPr>
          <w:pgSz w:w="11900" w:h="16838" w:orient="portrait"/>
          <w:cols w:equalWidth="0" w:num="2">
            <w:col w:w="3980" w:space="180"/>
            <w:col w:w="7060"/>
          </w:cols>
          <w:pgMar w:left="320" w:top="127" w:right="359" w:bottom="1440" w:gutter="0" w:footer="0" w:header="0"/>
          <w:type w:val="continuous"/>
        </w:sectPr>
      </w:pPr>
    </w:p>
    <w:p>
      <w:pPr>
        <w:spacing w:after="0" w:line="98" w:lineRule="exact"/>
        <w:rPr>
          <w:sz w:val="20"/>
          <w:szCs w:val="20"/>
          <w:color w:val="auto"/>
        </w:rPr>
      </w:pPr>
    </w:p>
    <w:p>
      <w:pPr>
        <w:ind w:right="180" w:firstLine="396"/>
        <w:spacing w:after="0" w:line="325" w:lineRule="auto"/>
        <w:rPr>
          <w:sz w:val="20"/>
          <w:szCs w:val="20"/>
          <w:color w:val="auto"/>
        </w:rPr>
      </w:pPr>
      <w:r>
        <w:rPr>
          <w:rFonts w:ascii="Arial" w:cs="Arial" w:eastAsia="Arial" w:hAnsi="Arial"/>
          <w:sz w:val="16"/>
          <w:szCs w:val="16"/>
          <w:color w:val="auto"/>
        </w:rPr>
        <w:t>We acquire technology-related assets that are complementary to or otherwise enhance our existing technologies. We also make investments in privately held companies that develop technology that is complementary to or provide strategic value and expand opportunities for our technologies.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47" w:lineRule="exact"/>
        <w:rPr>
          <w:sz w:val="20"/>
          <w:szCs w:val="20"/>
          <w:color w:val="auto"/>
        </w:rPr>
      </w:pPr>
    </w:p>
    <w:p>
      <w:pPr>
        <w:ind w:right="300" w:firstLine="396"/>
        <w:spacing w:after="0" w:line="247" w:lineRule="auto"/>
        <w:rPr>
          <w:sz w:val="20"/>
          <w:szCs w:val="20"/>
          <w:color w:val="auto"/>
        </w:rPr>
      </w:pPr>
      <w:r>
        <w:rPr>
          <w:rFonts w:ascii="Arial" w:cs="Arial" w:eastAsia="Arial" w:hAnsi="Arial"/>
          <w:sz w:val="18"/>
          <w:szCs w:val="18"/>
          <w:color w:val="auto"/>
        </w:rPr>
        <w:t>We are subject to various regulations, particularly those involving privacy and import/export controls. See Item 1A, “Risk Factors—Risks Relating to Laws and Regulations,”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41" w:lineRule="exact"/>
        <w:rPr>
          <w:sz w:val="20"/>
          <w:szCs w:val="20"/>
          <w:color w:val="auto"/>
        </w:rPr>
      </w:pPr>
    </w:p>
    <w:p>
      <w:pPr>
        <w:ind w:right="840"/>
        <w:spacing w:after="0" w:line="325" w:lineRule="auto"/>
        <w:rPr>
          <w:sz w:val="20"/>
          <w:szCs w:val="20"/>
          <w:color w:val="auto"/>
        </w:rPr>
      </w:pPr>
      <w:r>
        <w:rPr>
          <w:rFonts w:ascii="Arial" w:cs="Arial" w:eastAsia="Arial" w:hAnsi="Arial"/>
          <w:sz w:val="16"/>
          <w:szCs w:val="16"/>
          <w:i w:val="1"/>
          <w:iCs w:val="1"/>
          <w:color w:val="auto"/>
        </w:rPr>
        <w:t xml:space="preserve">Cloud Service Offerings: </w:t>
      </w:r>
      <w:r>
        <w:rPr>
          <w:rFonts w:ascii="Arial" w:cs="Arial" w:eastAsia="Arial" w:hAnsi="Arial"/>
          <w:sz w:val="16"/>
          <w:szCs w:val="16"/>
          <w:color w:val="auto"/>
        </w:rPr>
        <w:t>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6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i w:val="1"/>
          <w:iCs w:val="1"/>
          <w:color w:val="auto"/>
        </w:rPr>
        <w:t xml:space="preserve">Constant Currency (CC) Growth Rates: </w:t>
      </w:r>
      <w:r>
        <w:rPr>
          <w:rFonts w:ascii="Arial" w:cs="Arial" w:eastAsia="Arial" w:hAnsi="Arial"/>
          <w:sz w:val="16"/>
          <w:szCs w:val="16"/>
          <w:color w:val="auto"/>
        </w:rPr>
        <w:t>We attempt to represent the changes in the underlying business operations by eliminating fluctuations caused by</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8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i w:val="1"/>
          <w:iCs w:val="1"/>
          <w:color w:val="auto"/>
        </w:rPr>
        <w:t xml:space="preserve">Design Business: </w:t>
      </w:r>
      <w:r>
        <w:rPr>
          <w:rFonts w:ascii="Arial" w:cs="Arial" w:eastAsia="Arial" w:hAnsi="Arial"/>
          <w:sz w:val="18"/>
          <w:szCs w:val="18"/>
          <w:color w:val="auto"/>
        </w:rPr>
        <w:t>Represents the combination of maintenance, product subscriptions, and all EBAs. Main products include, but are not limited to, AutoCAD,</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16"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to a broad pool of Autodesk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over a defined contract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4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216" w:lineRule="exact"/>
        <w:rPr>
          <w:sz w:val="20"/>
          <w:szCs w:val="20"/>
          <w:color w:val="auto"/>
        </w:rPr>
      </w:pPr>
    </w:p>
    <w:p>
      <w:pPr>
        <w:ind w:right="160"/>
        <w:spacing w:after="0" w:line="328" w:lineRule="auto"/>
        <w:rPr>
          <w:sz w:val="20"/>
          <w:szCs w:val="20"/>
          <w:color w:val="auto"/>
        </w:rPr>
      </w:pPr>
      <w:r>
        <w:rPr>
          <w:rFonts w:ascii="Arial" w:cs="Arial" w:eastAsia="Arial" w:hAnsi="Arial"/>
          <w:sz w:val="15"/>
          <w:szCs w:val="15"/>
          <w:i w:val="1"/>
          <w:iCs w:val="1"/>
          <w:color w:val="auto"/>
        </w:rPr>
        <w:t xml:space="preserve">Maintenance Plan: </w:t>
      </w:r>
      <w:r>
        <w:rPr>
          <w:rFonts w:ascii="Arial" w:cs="Arial" w:eastAsia="Arial" w:hAnsi="Arial"/>
          <w:sz w:val="15"/>
          <w:szCs w:val="15"/>
          <w:color w:val="auto"/>
        </w:rPr>
        <w:t>Our maintenance plans provide our customers with a cost effective and predictable budgetary option to obtain the productivity benefits of</w:t>
      </w:r>
      <w:r>
        <w:rPr>
          <w:rFonts w:ascii="Arial" w:cs="Arial" w:eastAsia="Arial" w:hAnsi="Arial"/>
          <w:sz w:val="15"/>
          <w:szCs w:val="15"/>
          <w:i w:val="1"/>
          <w:iCs w:val="1"/>
          <w:color w:val="auto"/>
        </w:rPr>
        <w:t xml:space="preserve"> </w:t>
      </w:r>
      <w:r>
        <w:rPr>
          <w:rFonts w:ascii="Arial" w:cs="Arial" w:eastAsia="Arial" w:hAnsi="Arial"/>
          <w:sz w:val="15"/>
          <w:szCs w:val="15"/>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3"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i w:val="1"/>
          <w:iCs w:val="1"/>
          <w:color w:val="auto"/>
        </w:rPr>
        <w:t xml:space="preserve">Make Business: </w:t>
      </w:r>
      <w:r>
        <w:rPr>
          <w:rFonts w:ascii="Arial" w:cs="Arial" w:eastAsia="Arial" w:hAnsi="Arial"/>
          <w:sz w:val="16"/>
          <w:szCs w:val="16"/>
          <w:color w:val="auto"/>
        </w:rPr>
        <w:t>Represents certain cloud-based product subscriptions. Main products include, but are not limited to, Assemble, BIM 360, BuildingConnected,</w:t>
      </w:r>
      <w:r>
        <w:rPr>
          <w:rFonts w:ascii="Arial" w:cs="Arial" w:eastAsia="Arial" w:hAnsi="Arial"/>
          <w:sz w:val="16"/>
          <w:szCs w:val="16"/>
          <w:i w:val="1"/>
          <w:iCs w:val="1"/>
          <w:color w:val="auto"/>
        </w:rPr>
        <w:t xml:space="preserve"> </w:t>
      </w:r>
      <w:r>
        <w:rPr>
          <w:rFonts w:ascii="Arial" w:cs="Arial" w:eastAsia="Arial" w:hAnsi="Arial"/>
          <w:sz w:val="16"/>
          <w:szCs w:val="16"/>
          <w:color w:val="auto"/>
        </w:rPr>
        <w:t>PlanGrid, Fusion 360, and Shotgun. Certain products, such as Fusion 360, incorporate both Design and Make functionality and are classified as Make.</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Net Revenue Retention Rate (NR3): </w:t>
      </w:r>
      <w:r>
        <w:rPr>
          <w:rFonts w:ascii="Arial" w:cs="Arial" w:eastAsia="Arial" w:hAnsi="Arial"/>
          <w:sz w:val="16"/>
          <w:szCs w:val="16"/>
          <w:color w:val="auto"/>
        </w:rPr>
        <w:t>Measures the year-over-year change in subscription and maintenance revenue for the population of customers that existed</w:t>
      </w:r>
      <w:r>
        <w:rPr>
          <w:rFonts w:ascii="Arial" w:cs="Arial" w:eastAsia="Arial" w:hAnsi="Arial"/>
          <w:sz w:val="16"/>
          <w:szCs w:val="16"/>
          <w:i w:val="1"/>
          <w:iCs w:val="1"/>
          <w:color w:val="auto"/>
        </w:rPr>
        <w:t xml:space="preserve"> </w:t>
      </w:r>
      <w:r>
        <w:rPr>
          <w:rFonts w:ascii="Arial" w:cs="Arial" w:eastAsia="Arial" w:hAnsi="Arial"/>
          <w:sz w:val="16"/>
          <w:szCs w:val="16"/>
          <w:color w:val="auto"/>
        </w:rPr>
        <w:t>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 Beginning with the first quarter of fiscal 2021, Autodesk modified its definition of NR3 to the definition above. The effect of this change is not material for the periods presented.</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Consists of revenue from consulting, training, and other products and services, and is recognized as the products are delivered and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a flexible, cost-effective way to access and manage 3D design, engineering, and entertainment software tools.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subscriptions currently represent a hybrid of desktop and cloud functionality, which provides a device-independent, collaborative design workflow for designers and their stakeholders.</w:t>
      </w:r>
    </w:p>
    <w:p>
      <w:pPr>
        <w:spacing w:after="0" w:line="2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2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The sum of total short-term, long-term, and unbilled deferred revenue. Current remaining performance obligations is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revenue we expect to recognize in the next twelve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color w:val="auto"/>
        </w:rPr>
        <w:t>: The sum of cost of revenue and operating expenses.</w:t>
      </w:r>
    </w:p>
    <w:p>
      <w:pPr>
        <w:spacing w:after="0" w:line="24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i w:val="1"/>
          <w:iCs w:val="1"/>
          <w:color w:val="auto"/>
        </w:rPr>
        <w:t xml:space="preserve">Subscription Plan: </w:t>
      </w:r>
      <w:r>
        <w:rPr>
          <w:rFonts w:ascii="Arial" w:cs="Arial" w:eastAsia="Arial" w:hAnsi="Arial"/>
          <w:sz w:val="16"/>
          <w:szCs w:val="16"/>
          <w:color w:val="auto"/>
        </w:rPr>
        <w:t>Comprises our term-based product subscriptions, cloud service offerings, and EBAs. Subscriptions represent a combined hybrid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our term-based product subscriptions, cloud service offerings, and flexible EBAs.</w:t>
      </w:r>
    </w:p>
    <w:p>
      <w:pPr>
        <w:spacing w:after="0" w:line="241"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i w:val="1"/>
          <w:iCs w:val="1"/>
          <w:color w:val="auto"/>
        </w:rPr>
        <w:t xml:space="preserve">Unbilled Deferred Revenue: </w:t>
      </w:r>
      <w:r>
        <w:rPr>
          <w:rFonts w:ascii="Arial" w:cs="Arial" w:eastAsia="Arial" w:hAnsi="Arial"/>
          <w:sz w:val="16"/>
          <w:szCs w:val="16"/>
          <w:color w:val="auto"/>
        </w:rPr>
        <w:t>Unbilled deferred revenue represents contractually stated or committed orders under early renewal and multi-year billing plans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1A. RISK FACTORS</w:t>
      </w:r>
    </w:p>
    <w:p>
      <w:pPr>
        <w:spacing w:after="0" w:line="22" w:lineRule="exact"/>
        <w:rPr>
          <w:sz w:val="20"/>
          <w:szCs w:val="20"/>
          <w:color w:val="auto"/>
        </w:rPr>
      </w:pPr>
    </w:p>
    <w:p>
      <w:pPr>
        <w:ind w:right="40" w:firstLine="396"/>
        <w:spacing w:after="0" w:line="282"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Summary of Risk Factors</w:t>
      </w:r>
    </w:p>
    <w:p>
      <w:pPr>
        <w:spacing w:after="0" w:line="24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76" w:lineRule="exact"/>
        <w:rPr>
          <w:sz w:val="20"/>
          <w:szCs w:val="20"/>
          <w:color w:val="auto"/>
        </w:rPr>
      </w:pPr>
    </w:p>
    <w:p>
      <w:pPr>
        <w:ind w:left="640" w:right="140" w:hanging="318"/>
        <w:spacing w:after="0" w:line="26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strategy to develop and introduce new products and services, exposing us to risks such as limited customer acceptance, costs related to product defects, and large expenditures.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 and related public health measures.</w:t>
      </w:r>
    </w:p>
    <w:p>
      <w:pPr>
        <w:spacing w:after="0" w:line="96"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economic and political conditions.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challenges associated with strategic acquisitions and investments.</w:t>
      </w:r>
    </w:p>
    <w:p>
      <w:pPr>
        <w:spacing w:after="0" w:line="109" w:lineRule="exact"/>
        <w:rPr>
          <w:rFonts w:ascii="Arial" w:cs="Arial" w:eastAsia="Arial" w:hAnsi="Arial"/>
          <w:sz w:val="18"/>
          <w:szCs w:val="18"/>
          <w:color w:val="auto"/>
        </w:rPr>
      </w:pPr>
    </w:p>
    <w:p>
      <w:pPr>
        <w:ind w:left="640" w:right="60" w:hanging="318"/>
        <w:spacing w:after="0" w:line="26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predict subscription renewal rates and their impact on our future revenue and operating results.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and increased competition and rapidly evolving technological changes.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 of our financial results, key metrics and other operating metrics.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Deriving a substantial portion of our net revenue from a small number of solutions, including our AutoCAD-based software products and collections.</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to successfully execute and manage initiatives to realign or introduce new business and sales initiatives.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revenue, billings, earnings, cash flow, or subscriptions shortfalls or volatility of the market causing the market price of our stock to decline.</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and ethical issues relating to the use of artificial intelligence in our offerings.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incidents compromising the integrity of our or our customers’ offerings, services, data, or intellectual property.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third parties to provide us with a number of operational and technical services as well as software.</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highly complex software, which may contain undetected errors, defects, or vulnerabilities.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regulatory focus on privacy issues and expanding laws.</w:t>
      </w:r>
    </w:p>
    <w:p>
      <w:pPr>
        <w:spacing w:after="0" w:line="109" w:lineRule="exact"/>
        <w:rPr>
          <w:rFonts w:ascii="Arial" w:cs="Arial" w:eastAsia="Arial" w:hAnsi="Arial"/>
          <w:sz w:val="18"/>
          <w:szCs w:val="18"/>
          <w:color w:val="auto"/>
        </w:rPr>
      </w:pPr>
    </w:p>
    <w:p>
      <w:pPr>
        <w:ind w:left="640" w:right="160" w:hanging="318"/>
        <w:spacing w:after="0" w:line="26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export and import controls that could impair our ability to compete in international markets or subject us to liability if we violate the controls.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our intellectual property rights and intellectual property infringement claims from others.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government procurement process.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service obligations.</w:t>
      </w:r>
    </w:p>
    <w:p>
      <w:pPr>
        <w:spacing w:after="0" w:line="96" w:lineRule="exact"/>
        <w:rPr>
          <w:rFonts w:ascii="Arial" w:cs="Arial" w:eastAsia="Arial" w:hAnsi="Arial"/>
          <w:sz w:val="18"/>
          <w:szCs w:val="18"/>
          <w:color w:val="auto"/>
        </w:rPr>
      </w:pPr>
    </w:p>
    <w:p>
      <w:pPr>
        <w:ind w:left="640" w:right="180" w:hanging="318"/>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investment portfolio consisting of a variety of investment vehicles that are subject to interest rate trends, market volatility, and other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Our Business and Strategy</w:t>
      </w:r>
    </w:p>
    <w:p>
      <w:pPr>
        <w:spacing w:after="0" w:line="24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result in no additional net revenue or decreased net revenue.</w:t>
      </w:r>
    </w:p>
    <w:p>
      <w:pPr>
        <w:spacing w:after="0" w:line="208"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03" w:lineRule="exact"/>
        <w:rPr>
          <w:sz w:val="20"/>
          <w:szCs w:val="20"/>
          <w:color w:val="auto"/>
        </w:rPr>
      </w:pPr>
    </w:p>
    <w:p>
      <w:pPr>
        <w:ind w:right="60" w:firstLine="396"/>
        <w:spacing w:after="0" w:line="249"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9" w:lineRule="exact"/>
        <w:rPr>
          <w:sz w:val="20"/>
          <w:szCs w:val="20"/>
          <w:color w:val="auto"/>
        </w:rPr>
      </w:pPr>
    </w:p>
    <w:p>
      <w:pPr>
        <w:ind w:right="120" w:firstLine="396"/>
        <w:spacing w:after="0" w:line="285" w:lineRule="auto"/>
        <w:rPr>
          <w:sz w:val="20"/>
          <w:szCs w:val="20"/>
          <w:color w:val="auto"/>
        </w:rPr>
      </w:pPr>
      <w:r>
        <w:rPr>
          <w:rFonts w:ascii="Arial" w:cs="Arial" w:eastAsia="Arial" w:hAnsi="Arial"/>
          <w:sz w:val="16"/>
          <w:szCs w:val="16"/>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1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i w:val="1"/>
          <w:iCs w:val="1"/>
          <w:color w:val="auto"/>
        </w:rPr>
        <w:t>The effects of the COVID-19 pandemic and related public health measures have affected how we and our customers are operating our respective businesses, and the extent of the impact on our business and results of operations remains uncertain</w:t>
      </w:r>
      <w:r>
        <w:rPr>
          <w:rFonts w:ascii="Arial" w:cs="Arial" w:eastAsia="Arial" w:hAnsi="Arial"/>
          <w:sz w:val="18"/>
          <w:szCs w:val="18"/>
          <w:color w:val="auto"/>
        </w:rPr>
        <w:t>.</w:t>
      </w:r>
    </w:p>
    <w:p>
      <w:pPr>
        <w:spacing w:after="0" w:line="208" w:lineRule="exact"/>
        <w:rPr>
          <w:sz w:val="20"/>
          <w:szCs w:val="20"/>
          <w:color w:val="auto"/>
        </w:rPr>
      </w:pPr>
    </w:p>
    <w:p>
      <w:pPr>
        <w:ind w:right="40" w:firstLine="396"/>
        <w:spacing w:after="0" w:line="248" w:lineRule="auto"/>
        <w:rPr>
          <w:sz w:val="20"/>
          <w:szCs w:val="20"/>
          <w:color w:val="auto"/>
        </w:rPr>
      </w:pPr>
      <w:r>
        <w:rPr>
          <w:rFonts w:ascii="Arial" w:cs="Arial" w:eastAsia="Arial" w:hAnsi="Arial"/>
          <w:sz w:val="18"/>
          <w:szCs w:val="18"/>
          <w:color w:val="auto"/>
        </w:rPr>
        <w:t>We are continuing to conduct business during the COVID-19 pandemic with substantial modifications to employee travel and work locations, as well as virtualization, postponement, or cancellation of certain sales and marketing events, among other changes. We have observed other companies as well as governments taking precautionary measures to address COVID-19. We continue to actively monitor the situation and may take further actions to alter our business operations as may be required by federal, state, or local authorities, or that we determine are in the best interests of our employees, customers, partners, suppliers, and stockholders. The extent of the impact of any such modifications on our business, including the effects on our customers and prospects, and on our financial results, remains uncertain.</w:t>
      </w:r>
    </w:p>
    <w:p>
      <w:pPr>
        <w:spacing w:after="0" w:line="220" w:lineRule="exact"/>
        <w:rPr>
          <w:sz w:val="20"/>
          <w:szCs w:val="20"/>
          <w:color w:val="auto"/>
        </w:rPr>
      </w:pPr>
    </w:p>
    <w:p>
      <w:pPr>
        <w:ind w:right="20" w:firstLine="396"/>
        <w:spacing w:after="0" w:line="247" w:lineRule="auto"/>
        <w:rPr>
          <w:sz w:val="20"/>
          <w:szCs w:val="20"/>
          <w:color w:val="auto"/>
        </w:rPr>
      </w:pPr>
      <w:r>
        <w:rPr>
          <w:rFonts w:ascii="Arial" w:cs="Arial" w:eastAsia="Arial" w:hAnsi="Arial"/>
          <w:sz w:val="18"/>
          <w:szCs w:val="18"/>
          <w:color w:val="auto"/>
        </w:rPr>
        <w:t>In particular, if we are not able to retain current customers and attract new business, including multi-year contracts, or if customer renewal rates decline or fluctuate, it could have a material adverse effect upon our business and results of operations. During fiscal 2021, we took a number of actions to support our customers, including extending payment terms to 60 days through the beginning of August 2020, offering free commercial use of our cloud collaboration products through June 2020, delaying the transition from multi-user licenses to named-user licenses from May to August 2020 to minimize disruption, and deferring a 20% maintenance price increase from May to August 2020. These actions have affected our cash flow, and if these actions as well as our other sales and marketing activities are not successful in retaining current customers and in closing new business, our business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firstLine="396"/>
        <w:spacing w:after="0" w:line="292" w:lineRule="auto"/>
        <w:rPr>
          <w:sz w:val="20"/>
          <w:szCs w:val="20"/>
          <w:color w:val="auto"/>
        </w:rPr>
      </w:pPr>
      <w:r>
        <w:rPr>
          <w:rFonts w:ascii="Arial" w:cs="Arial" w:eastAsia="Arial" w:hAnsi="Arial"/>
          <w:sz w:val="16"/>
          <w:szCs w:val="16"/>
          <w:color w:val="auto"/>
        </w:rPr>
        <w:t>Given the evolving business environment as a result of the COVID-19 pandemic, we are actively managing our spending, reducing travel and entertainment expense, monitoring our hiring rate, and rationalizing our marketing spend. We will continue to invest in critical areas such as R&amp;D, construction, and digitizing the company to support our future success as we come out of the pandemic. If we are not able to successfully manage our spending and investment, it could have a material adverse effect on our cash balances, business,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41" w:lineRule="exact"/>
        <w:rPr>
          <w:sz w:val="20"/>
          <w:szCs w:val="20"/>
          <w:color w:val="auto"/>
        </w:rPr>
      </w:pPr>
    </w:p>
    <w:p>
      <w:pPr>
        <w:ind w:right="40" w:firstLine="396"/>
        <w:spacing w:after="0" w:line="298" w:lineRule="auto"/>
        <w:rPr>
          <w:sz w:val="20"/>
          <w:szCs w:val="20"/>
          <w:color w:val="auto"/>
        </w:rPr>
      </w:pPr>
      <w:r>
        <w:rPr>
          <w:rFonts w:ascii="Arial" w:cs="Arial" w:eastAsia="Arial" w:hAnsi="Arial"/>
          <w:sz w:val="15"/>
          <w:szCs w:val="15"/>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These economic conditions can occur abruptly. For example, the coronavirus (COVID-19) pandemic has caused additional uncertainty in the global economy, and an economic downturn or recession in the United States or in other countries may occur or has already occurred and may continue. The extent to which COVID-19 will impact our financial condition or results of operations is still uncertain and will continue to depend on developments such as the impact on our customers, vendors, distributors, and resellers, as well as other factors, including the full duration and the extent of the pandemic; actions taken by governments, businesses, and consumers in response to the pandemic; speed and timing of economic recovery;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93" w:lineRule="exact"/>
        <w:rPr>
          <w:sz w:val="20"/>
          <w:szCs w:val="20"/>
          <w:color w:val="auto"/>
        </w:rPr>
      </w:pPr>
    </w:p>
    <w:p>
      <w:pPr>
        <w:ind w:right="40" w:firstLine="396"/>
        <w:spacing w:after="0" w:line="282" w:lineRule="auto"/>
        <w:rPr>
          <w:sz w:val="20"/>
          <w:szCs w:val="20"/>
          <w:color w:val="auto"/>
        </w:rPr>
      </w:pPr>
      <w:r>
        <w:rPr>
          <w:rFonts w:ascii="Arial" w:cs="Arial" w:eastAsia="Arial" w:hAnsi="Arial"/>
          <w:sz w:val="16"/>
          <w:szCs w:val="16"/>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impacted by the costs and challenges associated with strategic acquisitions and investments.</w:t>
      </w:r>
    </w:p>
    <w:p>
      <w:pPr>
        <w:spacing w:after="0" w:line="241" w:lineRule="exact"/>
        <w:rPr>
          <w:sz w:val="20"/>
          <w:szCs w:val="20"/>
          <w:color w:val="auto"/>
        </w:rPr>
      </w:pPr>
    </w:p>
    <w:p>
      <w:pPr>
        <w:ind w:firstLine="396"/>
        <w:spacing w:after="0" w:line="246" w:lineRule="auto"/>
        <w:rPr>
          <w:sz w:val="20"/>
          <w:szCs w:val="20"/>
          <w:color w:val="auto"/>
        </w:rPr>
      </w:pPr>
      <w:r>
        <w:rPr>
          <w:rFonts w:ascii="Arial" w:cs="Arial" w:eastAsia="Arial" w:hAnsi="Arial"/>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2021.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5" w:lineRule="exact"/>
        <w:rPr>
          <w:sz w:val="20"/>
          <w:szCs w:val="20"/>
          <w:color w:val="auto"/>
        </w:rPr>
      </w:pPr>
    </w:p>
    <w:p>
      <w:pPr>
        <w:ind w:left="640" w:hanging="31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120" w:lineRule="exact"/>
        <w:rPr>
          <w:rFonts w:ascii="Arial" w:cs="Arial" w:eastAsia="Arial" w:hAnsi="Arial"/>
          <w:sz w:val="16"/>
          <w:szCs w:val="16"/>
          <w:color w:val="auto"/>
        </w:rPr>
      </w:pPr>
    </w:p>
    <w:p>
      <w:pPr>
        <w:ind w:left="640" w:hanging="31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109" w:lineRule="exact"/>
        <w:rPr>
          <w:rFonts w:ascii="Arial" w:cs="Arial" w:eastAsia="Arial" w:hAnsi="Arial"/>
          <w:sz w:val="18"/>
          <w:szCs w:val="18"/>
          <w:color w:val="auto"/>
        </w:rPr>
      </w:pPr>
    </w:p>
    <w:p>
      <w:pPr>
        <w:ind w:left="640" w:right="80" w:hanging="318"/>
        <w:spacing w:after="0" w:line="26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additional exposure to economic, tax, currency, political, legal, and regulatory risks associated with specific countries; and</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64" w:lineRule="exact"/>
        <w:rPr>
          <w:sz w:val="20"/>
          <w:szCs w:val="20"/>
          <w:color w:val="auto"/>
        </w:rPr>
      </w:pPr>
    </w:p>
    <w:p>
      <w:pPr>
        <w:ind w:right="60" w:firstLine="396"/>
        <w:spacing w:after="0" w:line="287"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19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208"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International net revenue represented 66% of our net revenue in both fiscal 2021 and 2020. Our international revenue, some of which comes from emerging economies, is subject to economic and political conditions in foreign markets, including those resulting from economic and political conditions in the United States, as well as country-specific conditions related to COVID-19, such as varied speed of recovery in different geographies.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192" w:lineRule="exact"/>
        <w:rPr>
          <w:sz w:val="20"/>
          <w:szCs w:val="20"/>
          <w:color w:val="auto"/>
        </w:rPr>
      </w:pPr>
    </w:p>
    <w:p>
      <w:pPr>
        <w:jc w:val="both"/>
        <w:ind w:right="180" w:firstLine="396"/>
        <w:spacing w:after="0" w:line="253"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84" w:lineRule="exact"/>
        <w:rPr>
          <w:sz w:val="20"/>
          <w:szCs w:val="20"/>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practices;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other anti-corruption laws;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and foreign tax law changes and the complexities of tax reporting;</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regarding the free flow of data across international borders and management of and access to data and public networks;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future limitations upon foreign-owned businesses;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20" w:firstLine="322"/>
        <w:spacing w:after="0" w:line="385"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 and pandemics, such as COVID-19. Some of our business partners also have international operations and are subject to the risks described above.</w:t>
      </w:r>
    </w:p>
    <w:p>
      <w:pPr>
        <w:spacing w:after="0" w:line="101" w:lineRule="exact"/>
        <w:rPr>
          <w:sz w:val="20"/>
          <w:szCs w:val="20"/>
          <w:color w:val="auto"/>
        </w:rPr>
      </w:pPr>
    </w:p>
    <w:p>
      <w:pPr>
        <w:ind w:right="60" w:firstLine="396"/>
        <w:spacing w:after="0" w:line="283" w:lineRule="auto"/>
        <w:rPr>
          <w:sz w:val="20"/>
          <w:szCs w:val="20"/>
          <w:color w:val="auto"/>
        </w:rPr>
      </w:pPr>
      <w:r>
        <w:rPr>
          <w:rFonts w:ascii="Arial" w:cs="Arial" w:eastAsia="Arial" w:hAnsi="Arial"/>
          <w:sz w:val="16"/>
          <w:szCs w:val="16"/>
          <w:color w:val="auto"/>
        </w:rPr>
        <w:t>The United Kingdom’s exit from the European Union (“Brexit”) has exacerbated and may further exacerbate many of the risks and uncertainties described above. The application of the Trade and Cooperation Agreement between the European Union, the European Atomic Energy Community, and the United Kingdom signed in December 2020 (the “TCA”),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196"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the conduct of our business.</w:t>
      </w:r>
    </w:p>
    <w:p>
      <w:pPr>
        <w:spacing w:after="0" w:line="196" w:lineRule="exact"/>
        <w:rPr>
          <w:sz w:val="20"/>
          <w:szCs w:val="20"/>
          <w:color w:val="auto"/>
        </w:rPr>
      </w:pPr>
    </w:p>
    <w:p>
      <w:pPr>
        <w:ind w:right="160" w:firstLine="396"/>
        <w:spacing w:after="0" w:line="262"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41" w:lineRule="exact"/>
        <w:rPr>
          <w:sz w:val="20"/>
          <w:szCs w:val="20"/>
          <w:color w:val="auto"/>
        </w:rPr>
      </w:pPr>
    </w:p>
    <w:p>
      <w:pPr>
        <w:ind w:right="180" w:firstLine="396"/>
        <w:spacing w:after="0" w:line="287" w:lineRule="auto"/>
        <w:rPr>
          <w:sz w:val="20"/>
          <w:szCs w:val="20"/>
          <w:color w:val="auto"/>
        </w:rPr>
      </w:pPr>
      <w:r>
        <w:rPr>
          <w:rFonts w:ascii="Arial" w:cs="Arial" w:eastAsia="Arial" w:hAnsi="Arial"/>
          <w:sz w:val="16"/>
          <w:szCs w:val="16"/>
          <w:color w:val="auto"/>
        </w:rPr>
        <w:t>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41"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Arial" w:cs="Arial" w:eastAsia="Arial" w:hAnsi="Arial"/>
          <w:sz w:val="16"/>
          <w:szCs w:val="16"/>
          <w:color w:val="212529"/>
        </w:rPr>
        <w:t>subscriptions and cloud-enabled technologies</w:t>
      </w:r>
      <w:r>
        <w:rPr>
          <w:rFonts w:ascii="Arial" w:cs="Arial" w:eastAsia="Arial" w:hAnsi="Arial"/>
          <w:sz w:val="16"/>
          <w:szCs w:val="16"/>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9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208"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line="26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Europe, APAC, and emerging economies, including from an economic downturn or recession in the United States or other countries;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produce sufficient revenue, billings, subscription, profitability, and cash flow growth, including as a result of the COVID-19 pandemic;</w:t>
      </w:r>
    </w:p>
    <w:p>
      <w:pPr>
        <w:spacing w:after="0" w:line="132" w:lineRule="exact"/>
        <w:rPr>
          <w:rFonts w:ascii="Arial" w:cs="Arial" w:eastAsia="Arial" w:hAnsi="Arial"/>
          <w:sz w:val="16"/>
          <w:szCs w:val="16"/>
          <w:color w:val="auto"/>
        </w:rPr>
      </w:pPr>
    </w:p>
    <w:p>
      <w:pPr>
        <w:ind w:left="640" w:right="240" w:hanging="318"/>
        <w:spacing w:after="0" w:line="26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109" w:lineRule="exact"/>
        <w:rPr>
          <w:rFonts w:ascii="Arial" w:cs="Arial" w:eastAsia="Arial" w:hAnsi="Arial"/>
          <w:sz w:val="18"/>
          <w:szCs w:val="18"/>
          <w:color w:val="auto"/>
        </w:rPr>
      </w:pPr>
    </w:p>
    <w:p>
      <w:pPr>
        <w:ind w:left="640" w:right="200" w:hanging="318"/>
        <w:spacing w:after="0" w:line="26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and timing of large transactions;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finance infrastructure projects;</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109"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the introduction of new products by us or our competitors;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or tax or accounting rules and regulations, such as increased use of fair value measures;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degree of expected investments in growth and efficiency opportunities;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events, such as pandemics and epidemics, including COVID-19;</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80"/>
          </w:cols>
          <w:pgMar w:left="320" w:top="127" w:right="5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41" w:lineRule="exact"/>
        <w:rPr>
          <w:sz w:val="20"/>
          <w:szCs w:val="20"/>
          <w:color w:val="auto"/>
        </w:rPr>
      </w:pPr>
    </w:p>
    <w:p>
      <w:pPr>
        <w:ind w:right="380" w:firstLine="396"/>
        <w:spacing w:after="0" w:line="253"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216" w:lineRule="exact"/>
        <w:rPr>
          <w:sz w:val="20"/>
          <w:szCs w:val="20"/>
          <w:color w:val="auto"/>
        </w:rPr>
      </w:pPr>
    </w:p>
    <w:p>
      <w:pPr>
        <w:ind w:right="320" w:firstLine="396"/>
        <w:spacing w:after="0" w:line="300"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208"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both fiscal 2021 and 2020, combined revenue from our AutoCAD and AutoCAD LT family products, not including collections having AutoCAD or AutoCAD LT as a component, represented 29% of our total net revenue, respectively.</w:t>
      </w:r>
    </w:p>
    <w:p>
      <w:pPr>
        <w:spacing w:after="0" w:line="19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208"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from time to time we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 billings, earnings, cash flow, or subscriptions shortfalls or volatility of the market generally may cause the market price of our stock to decline.</w:t>
      </w:r>
    </w:p>
    <w:p>
      <w:pPr>
        <w:spacing w:after="0" w:line="264" w:lineRule="exact"/>
        <w:rPr>
          <w:sz w:val="20"/>
          <w:szCs w:val="20"/>
          <w:color w:val="auto"/>
        </w:rPr>
      </w:pPr>
    </w:p>
    <w:p>
      <w:pPr>
        <w:ind w:right="340" w:firstLine="396"/>
        <w:spacing w:after="0" w:line="325" w:lineRule="auto"/>
        <w:rPr>
          <w:sz w:val="20"/>
          <w:szCs w:val="20"/>
          <w:color w:val="auto"/>
        </w:rPr>
      </w:pPr>
      <w:r>
        <w:rPr>
          <w:rFonts w:ascii="Arial" w:cs="Arial" w:eastAsia="Arial" w:hAnsi="Arial"/>
          <w:sz w:val="16"/>
          <w:szCs w:val="16"/>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29" w:lineRule="exact"/>
        <w:rPr>
          <w:sz w:val="20"/>
          <w:szCs w:val="20"/>
          <w:color w:val="auto"/>
        </w:rPr>
      </w:pPr>
    </w:p>
    <w:p>
      <w:pPr>
        <w:ind w:left="640" w:right="100" w:hanging="318"/>
        <w:spacing w:after="0" w:line="253"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and cash flow or key performance metrics, such as subscriptions, including as a result of the current COVID-19 pandemic, and how those results compare to securities analyst expectations, including whether those results fail to meet, exceed, or significantly exceed securities analyst expectations;</w:t>
      </w:r>
    </w:p>
    <w:p>
      <w:pPr>
        <w:spacing w:after="0" w:line="83"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socioeconomic, political, or market conditions, including from an economic downturn or recession in the United States or in other countries;</w:t>
      </w:r>
    </w:p>
    <w:p>
      <w:pPr>
        <w:spacing w:after="0" w:line="132" w:lineRule="exact"/>
        <w:rPr>
          <w:rFonts w:ascii="Arial" w:cs="Arial" w:eastAsia="Arial" w:hAnsi="Arial"/>
          <w:sz w:val="16"/>
          <w:szCs w:val="16"/>
          <w:color w:val="auto"/>
        </w:rPr>
      </w:pPr>
    </w:p>
    <w:p>
      <w:pPr>
        <w:ind w:left="640" w:right="1280" w:hanging="318"/>
        <w:spacing w:after="0" w:line="325" w:lineRule="auto"/>
        <w:tabs>
          <w:tab w:leader="none" w:pos="6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29" w:lineRule="exact"/>
        <w:rPr>
          <w:rFonts w:ascii="Arial" w:cs="Arial" w:eastAsia="Arial" w:hAnsi="Arial"/>
          <w:sz w:val="16"/>
          <w:szCs w:val="16"/>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offerings or enhancements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109" w:lineRule="exact"/>
        <w:rPr>
          <w:rFonts w:ascii="Arial" w:cs="Arial" w:eastAsia="Arial" w:hAnsi="Arial"/>
          <w:sz w:val="18"/>
          <w:szCs w:val="18"/>
          <w:color w:val="auto"/>
        </w:rPr>
      </w:pPr>
    </w:p>
    <w:p>
      <w:pPr>
        <w:ind w:left="640" w:right="140" w:hanging="318"/>
        <w:spacing w:after="0" w:line="26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7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1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208" w:lineRule="exact"/>
        <w:rPr>
          <w:sz w:val="20"/>
          <w:szCs w:val="20"/>
          <w:color w:val="auto"/>
        </w:rPr>
      </w:pPr>
    </w:p>
    <w:p>
      <w:pPr>
        <w:ind w:right="120" w:firstLine="396"/>
        <w:spacing w:after="0" w:line="247" w:lineRule="auto"/>
        <w:rPr>
          <w:sz w:val="20"/>
          <w:szCs w:val="20"/>
          <w:color w:val="auto"/>
        </w:rPr>
      </w:pPr>
      <w:r>
        <w:rPr>
          <w:rFonts w:ascii="Arial" w:cs="Arial" w:eastAsia="Arial" w:hAnsi="Arial"/>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and ethical issues relating to the use of artificial intelligence in our offerings may result in reputational harm or liability.</w:t>
      </w:r>
    </w:p>
    <w:p>
      <w:pPr>
        <w:spacing w:after="0" w:line="241"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Social and ethical issues relating to the use of new and evolving technologies such as artificial intelligence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Our Operations</w:t>
      </w:r>
    </w:p>
    <w:p>
      <w:pPr>
        <w:spacing w:after="0" w:line="17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55" w:lineRule="exact"/>
        <w:rPr>
          <w:sz w:val="20"/>
          <w:szCs w:val="20"/>
          <w:color w:val="auto"/>
        </w:rPr>
      </w:pPr>
    </w:p>
    <w:p>
      <w:pPr>
        <w:ind w:right="80" w:firstLine="396"/>
        <w:spacing w:after="0" w:line="285" w:lineRule="auto"/>
        <w:rPr>
          <w:sz w:val="20"/>
          <w:szCs w:val="20"/>
          <w:color w:val="auto"/>
        </w:rPr>
      </w:pPr>
      <w:r>
        <w:rPr>
          <w:rFonts w:ascii="Arial" w:cs="Arial" w:eastAsia="Arial" w:hAnsi="Arial"/>
          <w:sz w:val="16"/>
          <w:szCs w:val="16"/>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We also provide annual information security training to our employees. Despite these efforts, we may not prevent security incidents, and we may face delays or other difficulties in identifying or responding to security incidents.</w:t>
      </w:r>
    </w:p>
    <w:p>
      <w:pPr>
        <w:spacing w:after="0" w:line="127" w:lineRule="exact"/>
        <w:rPr>
          <w:sz w:val="20"/>
          <w:szCs w:val="20"/>
          <w:color w:val="auto"/>
        </w:rPr>
      </w:pPr>
    </w:p>
    <w:p>
      <w:pPr>
        <w:ind w:right="100" w:firstLine="396"/>
        <w:spacing w:after="0" w:line="247" w:lineRule="auto"/>
        <w:rPr>
          <w:sz w:val="20"/>
          <w:szCs w:val="20"/>
          <w:color w:val="auto"/>
        </w:rPr>
      </w:pPr>
      <w:r>
        <w:rPr>
          <w:rFonts w:ascii="Arial" w:cs="Arial" w:eastAsia="Arial" w:hAnsi="Arial"/>
          <w:sz w:val="18"/>
          <w:szCs w:val="18"/>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 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application-centric attacks, peer-to-peer attacks, phishing, malicious file uploads, backdoor trojans, and distributed denial of service (DDoS) attacks. For example, in December 2020 it was widely reported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SolarWinds, an information technology company, was the subject of a cyberattack that created security vulnerabilities for thousands of its clients. We identified a compromised SolarWinds server and promptly took steps to contain the incidents. While we believe that no customer operations or Autodesk products were disrupted as a result of this attack, other, similar attacks could have a significant negative impact on our systems and operations.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impossible for us to entirely eliminate these risks.</w:t>
      </w:r>
    </w:p>
    <w:p>
      <w:pPr>
        <w:spacing w:after="0" w:line="154"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to try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40" w:lineRule="exact"/>
        <w:rPr>
          <w:sz w:val="20"/>
          <w:szCs w:val="20"/>
          <w:color w:val="auto"/>
        </w:rPr>
      </w:pPr>
    </w:p>
    <w:p>
      <w:pPr>
        <w:ind w:right="120" w:firstLine="396"/>
        <w:spacing w:after="0" w:line="285" w:lineRule="auto"/>
        <w:rPr>
          <w:sz w:val="20"/>
          <w:szCs w:val="20"/>
          <w:color w:val="auto"/>
        </w:rPr>
      </w:pPr>
      <w:r>
        <w:rPr>
          <w:rFonts w:ascii="Arial" w:cs="Arial" w:eastAsia="Arial" w:hAnsi="Arial"/>
          <w:sz w:val="16"/>
          <w:szCs w:val="16"/>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results.</w:t>
      </w:r>
    </w:p>
    <w:p>
      <w:pPr>
        <w:spacing w:after="0" w:line="208" w:lineRule="exact"/>
        <w:rPr>
          <w:sz w:val="20"/>
          <w:szCs w:val="20"/>
          <w:color w:val="auto"/>
        </w:rPr>
      </w:pPr>
    </w:p>
    <w:p>
      <w:pPr>
        <w:ind w:right="60" w:firstLine="396"/>
        <w:spacing w:after="0" w:line="282" w:lineRule="auto"/>
        <w:rPr>
          <w:sz w:val="20"/>
          <w:szCs w:val="20"/>
          <w:color w:val="auto"/>
        </w:rPr>
      </w:pPr>
      <w:r>
        <w:rPr>
          <w:rFonts w:ascii="Arial" w:cs="Arial" w:eastAsia="Arial" w:hAnsi="Arial"/>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or availability of,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results could be negatively impacted.</w:t>
      </w:r>
    </w:p>
    <w:p>
      <w:pPr>
        <w:spacing w:after="0" w:line="1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results.</w:t>
      </w:r>
    </w:p>
    <w:p>
      <w:pPr>
        <w:spacing w:after="0" w:line="208" w:lineRule="exact"/>
        <w:rPr>
          <w:sz w:val="20"/>
          <w:szCs w:val="20"/>
          <w:color w:val="auto"/>
        </w:rPr>
      </w:pPr>
    </w:p>
    <w:p>
      <w:pPr>
        <w:ind w:right="80" w:firstLine="435"/>
        <w:spacing w:after="0" w:line="292" w:lineRule="auto"/>
        <w:rPr>
          <w:sz w:val="20"/>
          <w:szCs w:val="20"/>
          <w:color w:val="auto"/>
        </w:rPr>
      </w:pPr>
      <w:r>
        <w:rPr>
          <w:rFonts w:ascii="Arial" w:cs="Arial" w:eastAsia="Arial" w:hAnsi="Arial"/>
          <w:sz w:val="16"/>
          <w:szCs w:val="16"/>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data protection and privacy laws in certain jurisdictions, and our financial results could be negatively impacted.</w:t>
      </w:r>
    </w:p>
    <w:p>
      <w:pPr>
        <w:spacing w:after="0" w:line="186"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216" w:lineRule="exact"/>
        <w:rPr>
          <w:sz w:val="20"/>
          <w:szCs w:val="20"/>
          <w:color w:val="auto"/>
        </w:rPr>
      </w:pPr>
    </w:p>
    <w:p>
      <w:pPr>
        <w:ind w:right="160" w:firstLine="396"/>
        <w:spacing w:after="0" w:line="285" w:lineRule="auto"/>
        <w:rPr>
          <w:sz w:val="20"/>
          <w:szCs w:val="20"/>
          <w:color w:val="auto"/>
        </w:rPr>
      </w:pPr>
      <w:r>
        <w:rPr>
          <w:rFonts w:ascii="Arial" w:cs="Arial" w:eastAsia="Arial" w:hAnsi="Arial"/>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could result in disruption in our business operations, loss of customers, loss of revenue, errors in our accounting and financial reporting, or damage to our reputation, all of which could harm our business.</w:t>
      </w:r>
    </w:p>
    <w:p>
      <w:pPr>
        <w:spacing w:after="0" w:line="208"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208" w:lineRule="exact"/>
        <w:rPr>
          <w:sz w:val="20"/>
          <w:szCs w:val="20"/>
          <w:color w:val="auto"/>
        </w:rPr>
      </w:pPr>
    </w:p>
    <w:p>
      <w:pPr>
        <w:jc w:val="both"/>
        <w:ind w:right="140" w:firstLine="396"/>
        <w:spacing w:after="0" w:line="292"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86"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16"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We sell our software products both directly to end users and through a network of distributors and resellers. For fiscal 2021 and 2020, approximately 69% and 70%,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98" w:lineRule="exact"/>
        <w:rPr>
          <w:sz w:val="20"/>
          <w:szCs w:val="20"/>
          <w:color w:val="auto"/>
        </w:rPr>
      </w:pPr>
    </w:p>
    <w:p>
      <w:pPr>
        <w:ind w:right="40" w:firstLine="396"/>
        <w:spacing w:after="0" w:line="280"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distributors Tech Data and Ingram Micro. Tech Data accounted for 37% and 35% of our total net revenue for fiscal 2021 and 2020, respectively and Ingram Micro accounted for 10% of our total net revenue for both fiscal 2021 and 2020, respectively. Should any of our agreements with Tech Data or Ingram Micro be terminated,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business disruption or if our relationship with either were to significantly deteriorate, it is possible that our ability to sell to end users would, at least temporarily, be negatively impacted. This could, in turn, negatively impact our financial results. For example, in June 2020, an affiliate of funds managed by affiliates of Apollo Global Management, a global alternative investment manager, acquired Tech Data, and in December 2020, Platinum Equity, a global investment firm, announced that it had entered into a definitive agreement to acquire Ingram Micro from HNA Technology Co., Ltd., subject to stockholder and regulatory approvals. If there is any reseller or end user uncertainty caused by either acquisition, our ability to sell to these resellers and end users could, at least temporarily, be negatively impacted.</w:t>
      </w:r>
    </w:p>
    <w:p>
      <w:pPr>
        <w:spacing w:after="0" w:line="198" w:lineRule="exact"/>
        <w:rPr>
          <w:sz w:val="20"/>
          <w:szCs w:val="20"/>
          <w:color w:val="auto"/>
        </w:rPr>
      </w:pPr>
    </w:p>
    <w:p>
      <w:pPr>
        <w:ind w:right="60" w:firstLine="396"/>
        <w:spacing w:after="0" w:line="283"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64" w:lineRule="exact"/>
        <w:rPr>
          <w:sz w:val="20"/>
          <w:szCs w:val="20"/>
          <w:color w:val="auto"/>
        </w:rPr>
      </w:pPr>
    </w:p>
    <w:p>
      <w:pPr>
        <w:ind w:right="40" w:firstLine="396"/>
        <w:spacing w:after="0" w:line="247" w:lineRule="auto"/>
        <w:rPr>
          <w:sz w:val="20"/>
          <w:szCs w:val="20"/>
          <w:color w:val="auto"/>
        </w:rPr>
      </w:pPr>
      <w:r>
        <w:rPr>
          <w:rFonts w:ascii="Arial" w:cs="Arial" w:eastAsia="Arial" w:hAnsi="Arial"/>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23" w:lineRule="exact"/>
        <w:rPr>
          <w:sz w:val="20"/>
          <w:szCs w:val="20"/>
          <w:color w:val="auto"/>
        </w:rPr>
      </w:pPr>
    </w:p>
    <w:p>
      <w:pPr>
        <w:ind w:firstLine="396"/>
        <w:spacing w:after="0" w:line="292"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41" w:lineRule="exact"/>
        <w:rPr>
          <w:sz w:val="20"/>
          <w:szCs w:val="20"/>
          <w:color w:val="auto"/>
        </w:rPr>
      </w:pPr>
    </w:p>
    <w:p>
      <w:pPr>
        <w:ind w:right="80" w:firstLine="396"/>
        <w:spacing w:after="0" w:line="249"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208" w:lineRule="exact"/>
        <w:rPr>
          <w:sz w:val="20"/>
          <w:szCs w:val="20"/>
          <w:color w:val="auto"/>
        </w:rPr>
      </w:pPr>
    </w:p>
    <w:p>
      <w:pPr>
        <w:jc w:val="both"/>
        <w:ind w:right="80" w:firstLine="396"/>
        <w:spacing w:after="0" w:line="249"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licensing relationships and with third-party developers could adversely impact our business.</w:t>
      </w:r>
    </w:p>
    <w:p>
      <w:pPr>
        <w:spacing w:after="0" w:line="241"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93" w:lineRule="exact"/>
        <w:rPr>
          <w:sz w:val="20"/>
          <w:szCs w:val="20"/>
          <w:color w:val="auto"/>
        </w:rPr>
      </w:pPr>
    </w:p>
    <w:p>
      <w:pPr>
        <w:ind w:right="200" w:firstLine="396"/>
        <w:spacing w:after="0" w:line="253" w:lineRule="auto"/>
        <w:rPr>
          <w:sz w:val="20"/>
          <w:szCs w:val="20"/>
          <w:color w:val="auto"/>
        </w:rPr>
      </w:pPr>
      <w:r>
        <w:rPr>
          <w:rFonts w:ascii="Arial" w:cs="Arial" w:eastAsia="Arial" w:hAnsi="Arial"/>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Laws and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41" w:lineRule="exact"/>
        <w:rPr>
          <w:sz w:val="20"/>
          <w:szCs w:val="20"/>
          <w:color w:val="auto"/>
        </w:rPr>
      </w:pPr>
    </w:p>
    <w:p>
      <w:pPr>
        <w:ind w:right="580" w:firstLine="396"/>
        <w:spacing w:after="0" w:line="262" w:lineRule="auto"/>
        <w:rPr>
          <w:sz w:val="20"/>
          <w:szCs w:val="20"/>
          <w:color w:val="auto"/>
        </w:rPr>
      </w:pPr>
      <w:r>
        <w:rPr>
          <w:rFonts w:ascii="Arial" w:cs="Arial" w:eastAsia="Arial" w:hAnsi="Arial"/>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and otherwise process customer data, which may include personal data. Federal, state, and foreign privacy and data security laws apply to the treatment of personal data; the regulatory framework for data privacy and security issues is rapidly evolving and is likely to remain uncertain for the foreseeable future. Governments, regulators, plaintiffs’ attorneys, privacy advocates, and customers have increased their focus on how companies collect, process, use, store, share, and transmit personal data.</w:t>
      </w:r>
    </w:p>
    <w:p>
      <w:pPr>
        <w:spacing w:after="0" w:line="219" w:lineRule="exact"/>
        <w:rPr>
          <w:sz w:val="20"/>
          <w:szCs w:val="20"/>
          <w:color w:val="auto"/>
        </w:rPr>
      </w:pPr>
    </w:p>
    <w:p>
      <w:pPr>
        <w:ind w:firstLine="396"/>
        <w:spacing w:after="0" w:line="278" w:lineRule="auto"/>
        <w:rPr>
          <w:sz w:val="20"/>
          <w:szCs w:val="20"/>
          <w:color w:val="auto"/>
        </w:rPr>
      </w:pPr>
      <w:r>
        <w:rPr>
          <w:rFonts w:ascii="Arial" w:cs="Arial" w:eastAsia="Arial" w:hAnsi="Arial"/>
          <w:sz w:val="16"/>
          <w:szCs w:val="16"/>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the GDPR and make use of model contractual clauses approved by the European Commission in relation to the transfer of personal data from the European Union to the United States. On July 16, 2020, the Court of Justice of the European Union (“CJEU”) invalidated the EU-U.S. Privacy Shield data transfer mechanism (the “Schrems II Ruling”). We do not anticipate any immediate change in our customers’ ability to continue to use our services and transfer data between the EU and the United States as a result of the Schrems II Ruling. In the decision, the CJEU imposed additional obligations on companies when relying on standard contractual clauses approved by the European Commission (“SCCs”) to transfer personal data. This decision may result in European data protection regulators applying differing standards for, and requiring ad hoc verification of, transfers of personal data from Europe to the United States. In November 2020, the European Commission released a draft of revised SCCs addressing the CJEU concerns. The European Data Protection Board also issued recommendations that, together with the revised SCCs, may require us to implement additional contractual and technical safeguards for any personal data transferred out of the European Economic Area, which may increase compliance costs, lead to increased regulatory scrutiny or liability, and adversely impact our business, financial condition, and operating results. The United Kingdom has enacted a Data Protection Act and legislation referred to as the “UK GDPR” that, collectively, substantially implement the GDPR, and provides for substantial penalties for non-compliance. However, Brexit has created uncertainty regarding data protection regulation in the United Kingdom and how data transfers to and from the United Kingdom will be regulated post-Brexit. The TCA provides for unrestricted flow of personal data from the European Union to the United Kingdom until either April 30, 2021, which may be extended until June 30, 2021, by mutual agreement, or until the European Commission adopts a decision that U.K. data protection laws offer an adequate level of protection for personal data.</w:t>
      </w:r>
    </w:p>
    <w:p>
      <w:pPr>
        <w:spacing w:after="0" w:line="204"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In November 2020, California voters passed the California Privacy Rights Act (the “CPRA”). The CPRA significantly expands the CCPA, including by introducing additional obligations such as data minimization and storage limitations, granting additional rights to consumers such as correction of personal information and additional opt-out rights, and creates a new entity to implement and enforce the law. The CCPA and CPRA will require us to modify our data processing practices and policies and may cause us to incur substantial costs and expenses in order to comply. Several other countries, including Australia, New Zealand, Brazil, and Japan, have also established specific legal requirements for cross-border transfers of personal information.</w:t>
      </w:r>
    </w:p>
    <w:p>
      <w:pPr>
        <w:spacing w:after="0" w:line="196"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27" w:lineRule="exact"/>
        <w:rPr>
          <w:sz w:val="20"/>
          <w:szCs w:val="20"/>
          <w:color w:val="auto"/>
        </w:rPr>
      </w:pPr>
    </w:p>
    <w:p>
      <w:pPr>
        <w:ind w:right="200" w:firstLine="396"/>
        <w:spacing w:after="0" w:line="287" w:lineRule="auto"/>
        <w:rPr>
          <w:sz w:val="20"/>
          <w:szCs w:val="20"/>
          <w:color w:val="auto"/>
        </w:rPr>
      </w:pPr>
      <w:r>
        <w:rPr>
          <w:rFonts w:ascii="Arial" w:cs="Arial" w:eastAsia="Arial" w:hAnsi="Arial"/>
          <w:sz w:val="16"/>
          <w:szCs w:val="16"/>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understand how our offerings and services are being used, respond to customer requests allowed under the laws, and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140" w:lineRule="exact"/>
        <w:rPr>
          <w:sz w:val="20"/>
          <w:szCs w:val="20"/>
          <w:color w:val="auto"/>
        </w:rPr>
      </w:pPr>
    </w:p>
    <w:p>
      <w:pPr>
        <w:ind w:right="160" w:firstLine="396"/>
        <w:spacing w:after="0" w:line="250" w:lineRule="auto"/>
        <w:rPr>
          <w:sz w:val="20"/>
          <w:szCs w:val="20"/>
          <w:color w:val="auto"/>
        </w:rPr>
      </w:pPr>
      <w:r>
        <w:rPr>
          <w:rFonts w:ascii="Arial" w:cs="Arial" w:eastAsia="Arial" w:hAnsi="Arial"/>
          <w:sz w:val="18"/>
          <w:szCs w:val="18"/>
          <w:color w:val="auto"/>
        </w:rPr>
        <w:t>There is also an increasing trend towards data localization policies. For example, in 2015, Russia introduced data localization laws, and other countries such as India and China are considering data localization requirements. If this trend continues and countries implement more restrictive regulations for cross-border data transfers (or do not permit data to leave the country of origin), our business, financial condition, and results of operations in those jurisdictions could be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81" w:lineRule="exact"/>
        <w:rPr>
          <w:sz w:val="20"/>
          <w:szCs w:val="20"/>
          <w:color w:val="auto"/>
        </w:rPr>
      </w:pPr>
    </w:p>
    <w:p>
      <w:pPr>
        <w:ind w:right="40" w:firstLine="396"/>
        <w:spacing w:after="0" w:line="316" w:lineRule="auto"/>
        <w:rPr>
          <w:sz w:val="20"/>
          <w:szCs w:val="20"/>
          <w:color w:val="auto"/>
        </w:rPr>
      </w:pPr>
      <w:r>
        <w:rPr>
          <w:rFonts w:ascii="Arial" w:cs="Arial" w:eastAsia="Arial" w:hAnsi="Arial"/>
          <w:sz w:val="15"/>
          <w:szCs w:val="15"/>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47" w:lineRule="exact"/>
        <w:rPr>
          <w:sz w:val="20"/>
          <w:szCs w:val="20"/>
          <w:color w:val="auto"/>
        </w:rPr>
      </w:pPr>
    </w:p>
    <w:p>
      <w:pPr>
        <w:ind w:right="100" w:firstLine="396"/>
        <w:spacing w:after="0" w:line="292" w:lineRule="auto"/>
        <w:rPr>
          <w:sz w:val="20"/>
          <w:szCs w:val="20"/>
          <w:color w:val="auto"/>
        </w:rPr>
      </w:pPr>
      <w:r>
        <w:rPr>
          <w:rFonts w:ascii="Arial" w:cs="Arial" w:eastAsia="Arial" w:hAnsi="Arial"/>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41" w:lineRule="exact"/>
        <w:rPr>
          <w:sz w:val="20"/>
          <w:szCs w:val="20"/>
          <w:color w:val="auto"/>
        </w:rPr>
      </w:pPr>
    </w:p>
    <w:p>
      <w:pPr>
        <w:ind w:right="160" w:firstLine="396"/>
        <w:spacing w:after="0" w:line="281" w:lineRule="auto"/>
        <w:rPr>
          <w:sz w:val="20"/>
          <w:szCs w:val="20"/>
          <w:color w:val="auto"/>
        </w:rPr>
      </w:pPr>
      <w:r>
        <w:rPr>
          <w:rFonts w:ascii="Arial" w:cs="Arial" w:eastAsia="Arial" w:hAnsi="Arial"/>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8" w:lineRule="exact"/>
        <w:rPr>
          <w:sz w:val="20"/>
          <w:szCs w:val="20"/>
          <w:color w:val="auto"/>
        </w:rPr>
      </w:pPr>
    </w:p>
    <w:p>
      <w:pPr>
        <w:ind w:right="120" w:firstLine="396"/>
        <w:spacing w:after="0" w:line="285"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41" w:lineRule="exact"/>
        <w:rPr>
          <w:sz w:val="20"/>
          <w:szCs w:val="20"/>
          <w:color w:val="auto"/>
        </w:rPr>
      </w:pPr>
    </w:p>
    <w:p>
      <w:pPr>
        <w:ind w:right="60" w:firstLine="396"/>
        <w:spacing w:after="0" w:line="248" w:lineRule="auto"/>
        <w:rPr>
          <w:sz w:val="20"/>
          <w:szCs w:val="20"/>
          <w:color w:val="auto"/>
        </w:rPr>
      </w:pPr>
      <w:r>
        <w:rPr>
          <w:rFonts w:ascii="Arial" w:cs="Arial" w:eastAsia="Arial" w:hAnsi="Arial"/>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20"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Contracting with government entities exposes us to additional risks inherent in the government procurement process.</w:t>
      </w:r>
    </w:p>
    <w:p>
      <w:pPr>
        <w:spacing w:after="0" w:line="241" w:lineRule="exact"/>
        <w:rPr>
          <w:sz w:val="20"/>
          <w:szCs w:val="20"/>
          <w:color w:val="auto"/>
        </w:rPr>
      </w:pPr>
    </w:p>
    <w:p>
      <w:pPr>
        <w:ind w:right="140" w:firstLine="396"/>
        <w:spacing w:after="0" w:line="287" w:lineRule="auto"/>
        <w:rPr>
          <w:sz w:val="20"/>
          <w:szCs w:val="20"/>
          <w:color w:val="auto"/>
        </w:rPr>
      </w:pPr>
      <w:r>
        <w:rPr>
          <w:rFonts w:ascii="Arial" w:cs="Arial" w:eastAsia="Arial" w:hAnsi="Arial"/>
          <w:sz w:val="16"/>
          <w:szCs w:val="16"/>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Financial Developments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41"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196" w:lineRule="exact"/>
        <w:rPr>
          <w:sz w:val="20"/>
          <w:szCs w:val="20"/>
          <w:color w:val="auto"/>
        </w:rPr>
      </w:pPr>
    </w:p>
    <w:p>
      <w:pPr>
        <w:ind w:right="180" w:firstLine="396"/>
        <w:spacing w:after="0" w:line="29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86" w:lineRule="exact"/>
        <w:rPr>
          <w:sz w:val="20"/>
          <w:szCs w:val="20"/>
          <w:color w:val="auto"/>
        </w:rPr>
      </w:pPr>
    </w:p>
    <w:p>
      <w:pPr>
        <w:ind w:right="40" w:firstLine="396"/>
        <w:spacing w:after="0" w:line="292" w:lineRule="auto"/>
        <w:rPr>
          <w:sz w:val="20"/>
          <w:szCs w:val="20"/>
          <w:color w:val="auto"/>
        </w:rPr>
      </w:pPr>
      <w:r>
        <w:rPr>
          <w:rFonts w:ascii="Arial" w:cs="Arial" w:eastAsia="Arial" w:hAnsi="Arial"/>
          <w:sz w:val="16"/>
          <w:szCs w:val="16"/>
          <w:color w:val="auto"/>
        </w:rPr>
        <w:t>In addition, global events, including the sudden and unexpected effects of the COVID-19 pandemic as well as geopolitical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41" w:lineRule="exact"/>
        <w:rPr>
          <w:sz w:val="20"/>
          <w:szCs w:val="20"/>
          <w:color w:val="auto"/>
        </w:rPr>
      </w:pPr>
    </w:p>
    <w:p>
      <w:pPr>
        <w:ind w:right="100" w:firstLine="396"/>
        <w:spacing w:after="0" w:line="250" w:lineRule="auto"/>
        <w:rPr>
          <w:sz w:val="20"/>
          <w:szCs w:val="20"/>
          <w:color w:val="auto"/>
        </w:rPr>
      </w:pPr>
      <w:r>
        <w:rPr>
          <w:rFonts w:ascii="Arial" w:cs="Arial" w:eastAsia="Arial" w:hAnsi="Arial"/>
          <w:sz w:val="18"/>
          <w:szCs w:val="18"/>
          <w:color w:val="auto"/>
        </w:rPr>
        <w:t>We have $1.65 billion of debt, consisting of notes due at various times from December 2022 to January 2030, as described in Part 2, Item 8. We also entered into a credit agreement that provides for an unsecured revolving loan facility in the aggregate principal amount of $650.0 million, with an option to be increased up to $1.0 billion, as described in Part 2, Item 8. Maintenance of our indebtedness, contractual restrictions, and additional issuances of indebtedness could:</w:t>
      </w:r>
    </w:p>
    <w:p>
      <w:pPr>
        <w:spacing w:after="0" w:line="87" w:lineRule="exact"/>
        <w:rPr>
          <w:sz w:val="20"/>
          <w:szCs w:val="20"/>
          <w:color w:val="auto"/>
        </w:rPr>
      </w:pPr>
    </w:p>
    <w:p>
      <w:pPr>
        <w:ind w:left="640" w:hanging="31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cause us to dedicate a substantial portion of our cash flows from operations towards debt service obligations and principal repayments;</w:t>
      </w:r>
    </w:p>
    <w:p>
      <w:pPr>
        <w:spacing w:after="0" w:line="132" w:lineRule="exact"/>
        <w:rPr>
          <w:rFonts w:ascii="Arial" w:cs="Arial" w:eastAsia="Arial" w:hAnsi="Arial"/>
          <w:sz w:val="16"/>
          <w:szCs w:val="16"/>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 our ability to obtain future financing for working capital, capital expenditures, acquisitions, general corporate, or other purposes; and</w:t>
      </w:r>
    </w:p>
    <w:p>
      <w:pPr>
        <w:spacing w:after="0" w:line="132" w:lineRule="exact"/>
        <w:rPr>
          <w:rFonts w:ascii="Arial" w:cs="Arial" w:eastAsia="Arial" w:hAnsi="Arial"/>
          <w:sz w:val="16"/>
          <w:szCs w:val="16"/>
          <w:color w:val="auto"/>
        </w:rPr>
      </w:pPr>
    </w:p>
    <w:p>
      <w:pPr>
        <w:ind w:left="640" w:hanging="318"/>
        <w:spacing w:after="0" w:line="253"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16" w:lineRule="exact"/>
        <w:rPr>
          <w:sz w:val="20"/>
          <w:szCs w:val="20"/>
          <w:color w:val="auto"/>
        </w:rPr>
      </w:pPr>
    </w:p>
    <w:p>
      <w:pPr>
        <w:ind w:right="100" w:firstLine="396"/>
        <w:spacing w:after="0" w:line="250" w:lineRule="auto"/>
        <w:rPr>
          <w:sz w:val="20"/>
          <w:szCs w:val="20"/>
          <w:color w:val="auto"/>
        </w:rPr>
      </w:pPr>
      <w:r>
        <w:rPr>
          <w:rFonts w:ascii="Arial" w:cs="Arial" w:eastAsia="Arial" w:hAnsi="Arial"/>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2, Item 8, and any outstanding indebtedness under the credit agreement may be declared immediately due and payable. In addition, changes by any rating agency to our credit rating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6"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81" w:lineRule="exact"/>
        <w:rPr>
          <w:sz w:val="20"/>
          <w:szCs w:val="20"/>
          <w:color w:val="auto"/>
        </w:rPr>
      </w:pPr>
    </w:p>
    <w:p>
      <w:pPr>
        <w:ind w:right="280" w:firstLine="396"/>
        <w:spacing w:after="0" w:line="28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92" w:lineRule="exact"/>
        <w:rPr>
          <w:sz w:val="20"/>
          <w:szCs w:val="20"/>
          <w:color w:val="auto"/>
        </w:rPr>
      </w:pPr>
    </w:p>
    <w:p>
      <w:pPr>
        <w:ind w:right="80" w:firstLine="396"/>
        <w:spacing w:after="0" w:line="287" w:lineRule="auto"/>
        <w:rPr>
          <w:sz w:val="20"/>
          <w:szCs w:val="20"/>
          <w:color w:val="auto"/>
        </w:rPr>
      </w:pPr>
      <w:r>
        <w:rPr>
          <w:rFonts w:ascii="Arial" w:cs="Arial" w:eastAsia="Arial" w:hAnsi="Arial"/>
          <w:sz w:val="16"/>
          <w:szCs w:val="16"/>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92" w:lineRule="exact"/>
        <w:rPr>
          <w:sz w:val="20"/>
          <w:szCs w:val="20"/>
          <w:color w:val="auto"/>
        </w:rPr>
      </w:pPr>
    </w:p>
    <w:p>
      <w:pPr>
        <w:ind w:right="40" w:firstLine="396"/>
        <w:spacing w:after="0" w:line="300"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64" w:lineRule="exact"/>
        <w:rPr>
          <w:sz w:val="20"/>
          <w:szCs w:val="20"/>
          <w:color w:val="auto"/>
        </w:rPr>
      </w:pPr>
    </w:p>
    <w:p>
      <w:pPr>
        <w:ind w:right="80" w:firstLine="396"/>
        <w:spacing w:after="0" w:line="311" w:lineRule="auto"/>
        <w:rPr>
          <w:sz w:val="20"/>
          <w:szCs w:val="20"/>
          <w:color w:val="auto"/>
        </w:rPr>
      </w:pPr>
      <w:r>
        <w:rPr>
          <w:rFonts w:ascii="Arial" w:cs="Arial" w:eastAsia="Arial" w:hAnsi="Arial"/>
          <w:sz w:val="15"/>
          <w:szCs w:val="15"/>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tax authorities and may have a significant impact on our effective tax rate and cash taxes.</w:t>
      </w:r>
    </w:p>
    <w:p>
      <w:pPr>
        <w:spacing w:after="0" w:line="175" w:lineRule="exact"/>
        <w:rPr>
          <w:sz w:val="20"/>
          <w:szCs w:val="20"/>
          <w:color w:val="auto"/>
        </w:rPr>
      </w:pPr>
    </w:p>
    <w:p>
      <w:pPr>
        <w:ind w:firstLine="396"/>
        <w:spacing w:after="0" w:line="247" w:lineRule="auto"/>
        <w:rPr>
          <w:sz w:val="20"/>
          <w:szCs w:val="20"/>
          <w:color w:val="auto"/>
        </w:rPr>
      </w:pPr>
      <w:r>
        <w:rPr>
          <w:rFonts w:ascii="Arial" w:cs="Arial" w:eastAsia="Arial" w:hAnsi="Arial"/>
          <w:sz w:val="18"/>
          <w:szCs w:val="18"/>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(“TCJA”),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TCJA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TCJA and the CARES Act, including for our prior tax years.</w:t>
      </w:r>
    </w:p>
    <w:p>
      <w:pPr>
        <w:spacing w:after="0" w:line="223" w:lineRule="exact"/>
        <w:rPr>
          <w:sz w:val="20"/>
          <w:szCs w:val="20"/>
          <w:color w:val="auto"/>
        </w:rPr>
      </w:pPr>
    </w:p>
    <w:p>
      <w:pPr>
        <w:ind w:right="100" w:firstLine="396"/>
        <w:spacing w:after="0" w:line="287" w:lineRule="auto"/>
        <w:rPr>
          <w:sz w:val="20"/>
          <w:szCs w:val="20"/>
          <w:color w:val="auto"/>
        </w:rPr>
      </w:pPr>
      <w:r>
        <w:rPr>
          <w:rFonts w:ascii="Arial" w:cs="Arial" w:eastAsia="Arial" w:hAnsi="Arial"/>
          <w:sz w:val="16"/>
          <w:szCs w:val="16"/>
          <w:color w:val="auto"/>
        </w:rPr>
        <w:t>Increasingly,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we have interpreted and historically applied the rules and regulations in our tax returns for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208"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are releasing our valuation allowance against the majority of our U.S. federal tax assets resulting in a material non-cash benefit in this period. We continue to have a full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General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41" w:lineRule="exact"/>
        <w:rPr>
          <w:sz w:val="20"/>
          <w:szCs w:val="20"/>
          <w:color w:val="auto"/>
        </w:rPr>
      </w:pPr>
    </w:p>
    <w:p>
      <w:pPr>
        <w:ind w:right="60" w:firstLine="396"/>
        <w:spacing w:after="0" w:line="28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16" w:lineRule="exact"/>
        <w:rPr>
          <w:sz w:val="20"/>
          <w:szCs w:val="20"/>
          <w:color w:val="auto"/>
        </w:rPr>
      </w:pPr>
    </w:p>
    <w:p>
      <w:pPr>
        <w:ind w:right="40" w:firstLine="396"/>
        <w:spacing w:after="0" w:line="282"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41" w:lineRule="exact"/>
        <w:rPr>
          <w:sz w:val="20"/>
          <w:szCs w:val="20"/>
          <w:color w:val="auto"/>
        </w:rPr>
      </w:pPr>
    </w:p>
    <w:p>
      <w:pPr>
        <w:jc w:val="both"/>
        <w:ind w:right="400" w:firstLine="396"/>
        <w:spacing w:after="0" w:line="300"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61"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208" w:lineRule="exact"/>
        <w:rPr>
          <w:sz w:val="20"/>
          <w:szCs w:val="20"/>
          <w:color w:val="auto"/>
        </w:rPr>
      </w:pPr>
    </w:p>
    <w:p>
      <w:pPr>
        <w:ind w:right="40" w:firstLine="396"/>
        <w:spacing w:after="0" w:line="305" w:lineRule="auto"/>
        <w:rPr>
          <w:sz w:val="20"/>
          <w:szCs w:val="20"/>
          <w:color w:val="auto"/>
        </w:rPr>
      </w:pPr>
      <w:r>
        <w:rPr>
          <w:rFonts w:ascii="Arial" w:cs="Arial" w:eastAsia="Arial" w:hAnsi="Arial"/>
          <w:sz w:val="15"/>
          <w:szCs w:val="15"/>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other intangible assets, the realizability of deferred tax assets, and the fair value of stock awards. We also make assumptions, judgments, and estimates in determining the accruals for uncertain tax positions, variable compensation, partner incentive programs, product returns reserves,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6"/>
          <w:szCs w:val="16"/>
          <w:b w:val="1"/>
          <w:bCs w:val="1"/>
          <w:color w:val="0696D7"/>
        </w:rPr>
        <w:t>UNRESOLVED STAFF COMMENTS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6"/>
          <w:szCs w:val="16"/>
          <w:b w:val="1"/>
          <w:bCs w:val="1"/>
          <w:color w:val="0696D7"/>
        </w:rPr>
        <w:t>PROPERTIES</w:t>
      </w:r>
    </w:p>
    <w:p>
      <w:pPr>
        <w:spacing w:after="0" w:line="247" w:lineRule="exact"/>
        <w:rPr>
          <w:sz w:val="20"/>
          <w:szCs w:val="20"/>
          <w:color w:val="auto"/>
        </w:rPr>
      </w:pPr>
    </w:p>
    <w:p>
      <w:pPr>
        <w:ind w:right="120" w:firstLine="435"/>
        <w:spacing w:after="0" w:line="248" w:lineRule="auto"/>
        <w:rPr>
          <w:sz w:val="20"/>
          <w:szCs w:val="20"/>
          <w:color w:val="auto"/>
        </w:rPr>
      </w:pPr>
      <w:r>
        <w:rPr>
          <w:rFonts w:ascii="Arial" w:cs="Arial" w:eastAsia="Arial" w:hAnsi="Arial"/>
          <w:sz w:val="18"/>
          <w:szCs w:val="18"/>
          <w:color w:val="auto"/>
        </w:rPr>
        <w:t>We lease approximately 2,100,000 square feet of office space in 100 locations in the United States and internationally through our foreign subsidiaries. Our executive offices are in leased office space in San Francisco, California, and our corporate headquarters are in leased office space in San Rafael, California. Our San Rafael facilities consist of approximately 162,000 square feet under leases that have expiration dates ranging from December 2021 to December 2024. Our San Francisco facilities consist of approximately 284,000 square feet under leases that have expiration dates ranging from December 2022 to June 2026. We and our foreign subsidiaries lease additional space in various locations throughout the world for local sales, product development, and technical support personnel.</w:t>
      </w:r>
    </w:p>
    <w:p>
      <w:pPr>
        <w:spacing w:after="0" w:line="220" w:lineRule="exact"/>
        <w:rPr>
          <w:sz w:val="20"/>
          <w:szCs w:val="20"/>
          <w:color w:val="auto"/>
        </w:rPr>
      </w:pPr>
    </w:p>
    <w:p>
      <w:pPr>
        <w:ind w:right="260" w:firstLine="435"/>
        <w:spacing w:after="0" w:line="253" w:lineRule="auto"/>
        <w:rPr>
          <w:sz w:val="20"/>
          <w:szCs w:val="20"/>
          <w:color w:val="auto"/>
        </w:rPr>
      </w:pPr>
      <w:r>
        <w:rPr>
          <w:rFonts w:ascii="Arial" w:cs="Arial" w:eastAsia="Arial" w:hAnsi="Arial"/>
          <w:sz w:val="18"/>
          <w:szCs w:val="18"/>
          <w:color w:val="auto"/>
        </w:rPr>
        <w:t>All facilities are in good condition. Our facilities are operating at capacities averaging 87% occupancy worldwide as of January 31, 2021. We believe that our existing facilities and offices are adequate to meet our requirements for the foreseeable future. See Note 9, “Leases,” in the Notes to Consolidated Financial Statements for more information about our lease commitments.</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6"/>
          <w:szCs w:val="16"/>
          <w:b w:val="1"/>
          <w:bCs w:val="1"/>
          <w:color w:val="0696D7"/>
        </w:rPr>
        <w:t>LEGAL PROCEEDINGS</w:t>
      </w:r>
    </w:p>
    <w:p>
      <w:pPr>
        <w:spacing w:after="0" w:line="247" w:lineRule="exact"/>
        <w:rPr>
          <w:sz w:val="20"/>
          <w:szCs w:val="20"/>
          <w:color w:val="auto"/>
        </w:rPr>
      </w:pPr>
    </w:p>
    <w:p>
      <w:pPr>
        <w:ind w:right="60" w:firstLine="435"/>
        <w:spacing w:after="0" w:line="285"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our financial statements, any such amount is either immaterial or it is not possible to provide an estimated amount of any such potential loss.</w:t>
      </w:r>
    </w:p>
    <w:p>
      <w:pPr>
        <w:spacing w:after="0" w:line="2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6"/>
          <w:szCs w:val="16"/>
          <w:b w:val="1"/>
          <w:bCs w:val="1"/>
          <w:color w:val="0696D7"/>
        </w:rPr>
        <w:t>MINE SAFETY DISCLOSURES</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9" w:lineRule="exact"/>
        <w:rPr>
          <w:sz w:val="20"/>
          <w:szCs w:val="20"/>
          <w:color w:val="auto"/>
        </w:rPr>
      </w:pPr>
    </w:p>
    <w:p>
      <w:pPr>
        <w:ind w:left="1260" w:right="20" w:hanging="1265"/>
        <w:spacing w:after="0" w:line="269" w:lineRule="auto"/>
        <w:tabs>
          <w:tab w:leader="none" w:pos="124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Select Market under the symbol ADSK.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anticipate that, for the foreseeable future, we will not pay any cash or stock dividends.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47" w:lineRule="exact"/>
        <w:rPr>
          <w:sz w:val="20"/>
          <w:szCs w:val="20"/>
          <w:color w:val="auto"/>
        </w:rPr>
      </w:pPr>
    </w:p>
    <w:p>
      <w:pPr>
        <w:ind w:right="260" w:firstLine="435"/>
        <w:spacing w:after="0" w:line="325" w:lineRule="auto"/>
        <w:rPr>
          <w:sz w:val="20"/>
          <w:szCs w:val="20"/>
          <w:color w:val="auto"/>
        </w:rPr>
      </w:pPr>
      <w:r>
        <w:rPr>
          <w:rFonts w:ascii="Arial" w:cs="Arial" w:eastAsia="Arial" w:hAnsi="Arial"/>
          <w:sz w:val="16"/>
          <w:szCs w:val="16"/>
          <w:color w:val="auto"/>
        </w:rPr>
        <w:t>As of January 31, 2021, the number of common stockholders of record was 331. Because many of our shares of common stock are held by brokers or other institutions on behalf of stockholders, we are unable to estimate the total number of stockholders represented by the record 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January 31, 2021:</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6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Average Price Paid per</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 Shares Purchased</w:t>
            </w:r>
          </w:p>
        </w:tc>
        <w:tc>
          <w:tcPr>
            <w:tcW w:w="12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Number of Shares that May Yet</w:t>
            </w:r>
          </w:p>
        </w:tc>
        <w:tc>
          <w:tcPr>
            <w:tcW w:w="0" w:type="dxa"/>
            <w:vAlign w:val="bottom"/>
          </w:tcPr>
          <w:p>
            <w:pPr>
              <w:spacing w:after="0"/>
              <w:rPr>
                <w:sz w:val="1"/>
                <w:szCs w:val="1"/>
                <w:color w:val="auto"/>
              </w:rPr>
            </w:pPr>
          </w:p>
        </w:tc>
      </w:tr>
      <w:tr>
        <w:trPr>
          <w:trHeight w:val="132"/>
        </w:trPr>
        <w:tc>
          <w:tcPr>
            <w:tcW w:w="2680" w:type="dxa"/>
            <w:vAlign w:val="bottom"/>
            <w:vMerge w:val="restart"/>
          </w:tcPr>
          <w:p>
            <w:pPr>
              <w:spacing w:after="0"/>
              <w:rPr>
                <w:sz w:val="20"/>
                <w:szCs w:val="20"/>
                <w:color w:val="auto"/>
              </w:rPr>
            </w:pPr>
            <w:r>
              <w:rPr>
                <w:rFonts w:ascii="Arial" w:cs="Arial" w:eastAsia="Arial" w:hAnsi="Arial"/>
                <w:sz w:val="14"/>
                <w:szCs w:val="14"/>
                <w:i w:val="1"/>
                <w:iCs w:val="1"/>
                <w:color w:val="auto"/>
              </w:rPr>
              <w:t>(Shares in thousands)</w:t>
            </w: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6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as Part of Publicly Announced Plans or</w:t>
            </w:r>
          </w:p>
        </w:tc>
        <w:tc>
          <w:tcPr>
            <w:tcW w:w="120" w:type="dxa"/>
            <w:vAlign w:val="bottom"/>
          </w:tcPr>
          <w:p>
            <w:pPr>
              <w:spacing w:after="0"/>
              <w:rPr>
                <w:sz w:val="11"/>
                <w:szCs w:val="11"/>
                <w:color w:val="auto"/>
              </w:rPr>
            </w:pPr>
          </w:p>
        </w:tc>
        <w:tc>
          <w:tcPr>
            <w:tcW w:w="26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Be Purchased Under the Plans or</w:t>
            </w:r>
          </w:p>
        </w:tc>
        <w:tc>
          <w:tcPr>
            <w:tcW w:w="0" w:type="dxa"/>
            <w:vAlign w:val="bottom"/>
          </w:tcPr>
          <w:p>
            <w:pPr>
              <w:spacing w:after="0"/>
              <w:rPr>
                <w:sz w:val="1"/>
                <w:szCs w:val="1"/>
                <w:color w:val="auto"/>
              </w:rPr>
            </w:pPr>
          </w:p>
        </w:tc>
      </w:tr>
      <w:tr>
        <w:trPr>
          <w:trHeight w:val="184"/>
        </w:trPr>
        <w:tc>
          <w:tcPr>
            <w:tcW w:w="268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Programs(2)</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November 1 - November 30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250.26</w:t>
            </w:r>
          </w:p>
        </w:tc>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12,523.0</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6"/>
                <w:szCs w:val="16"/>
                <w:color w:val="auto"/>
              </w:rPr>
              <w:t>December 1 - December 31</w:t>
            </w:r>
          </w:p>
        </w:tc>
        <w:tc>
          <w:tcPr>
            <w:tcW w:w="1460" w:type="dxa"/>
            <w:vAlign w:val="bottom"/>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300.31</w:t>
            </w:r>
          </w:p>
        </w:tc>
        <w:tc>
          <w:tcPr>
            <w:tcW w:w="1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95.0</w:t>
            </w:r>
          </w:p>
        </w:tc>
        <w:tc>
          <w:tcPr>
            <w:tcW w:w="2740" w:type="dxa"/>
            <w:vAlign w:val="bottom"/>
            <w:gridSpan w:val="2"/>
          </w:tcPr>
          <w:p>
            <w:pPr>
              <w:jc w:val="right"/>
              <w:spacing w:after="0"/>
              <w:rPr>
                <w:sz w:val="20"/>
                <w:szCs w:val="20"/>
                <w:color w:val="auto"/>
              </w:rPr>
            </w:pPr>
            <w:r>
              <w:rPr>
                <w:rFonts w:ascii="Arial" w:cs="Arial" w:eastAsia="Arial" w:hAnsi="Arial"/>
                <w:sz w:val="16"/>
                <w:szCs w:val="16"/>
                <w:color w:val="auto"/>
              </w:rPr>
              <w:t>12,428.0</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January 1 - January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304.02</w:t>
            </w:r>
          </w:p>
        </w:tc>
        <w:tc>
          <w:tcPr>
            <w:tcW w:w="100" w:type="dxa"/>
            <w:vAlign w:val="bottom"/>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12,075.0</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295.06</w:t>
            </w:r>
          </w:p>
        </w:tc>
        <w:tc>
          <w:tcPr>
            <w:tcW w:w="100" w:type="dxa"/>
            <w:vAlign w:val="bottom"/>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w:t>
            </w: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5" w:lineRule="exact"/>
        <w:rPr>
          <w:rFonts w:ascii="Arial" w:cs="Arial" w:eastAsia="Arial" w:hAnsi="Arial"/>
          <w:sz w:val="16"/>
          <w:szCs w:val="16"/>
          <w:color w:val="auto"/>
        </w:rPr>
      </w:pPr>
    </w:p>
    <w:p>
      <w:pPr>
        <w:ind w:left="400" w:right="920" w:hanging="394"/>
        <w:spacing w:after="0" w:line="244"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amounts correspond to the plan publicly announced and approved by the Board of Directors in September 2016 that authorizes the repurchase of 30.0 million shares. The plan does not have a fixed expiration date.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47" w:lineRule="exact"/>
        <w:rPr>
          <w:sz w:val="20"/>
          <w:szCs w:val="20"/>
          <w:color w:val="auto"/>
        </w:rPr>
      </w:pPr>
    </w:p>
    <w:p>
      <w:pPr>
        <w:jc w:val="both"/>
        <w:ind w:right="60" w:firstLine="435"/>
        <w:spacing w:after="0" w:line="283" w:lineRule="auto"/>
        <w:rPr>
          <w:sz w:val="20"/>
          <w:szCs w:val="20"/>
          <w:color w:val="auto"/>
        </w:rPr>
      </w:pPr>
      <w:r>
        <w:rPr>
          <w:rFonts w:ascii="Arial" w:cs="Arial" w:eastAsia="Arial" w:hAnsi="Arial"/>
          <w:sz w:val="16"/>
          <w:szCs w:val="16"/>
          <w:color w:val="auto"/>
        </w:rPr>
        <w:t>In connection with an acquisition completed in November 2020, we issued 147,264 shares of restricted stock as partial consideration for the acquisition. These shares were issued in a private placement exempt from the registration requirements of the Securities Act of 1933, as amended (the “Securities Act”), in reliance on the exemptions set forth in Section 4(a)(2) of the Securities Act and Rule 506 under Regulation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47"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12700</wp:posOffset>
            </wp:positionV>
            <wp:extent cx="4464050" cy="3350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64050" cy="335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6" w:lineRule="exact"/>
        <w:rPr>
          <w:sz w:val="20"/>
          <w:szCs w:val="20"/>
          <w:color w:val="auto"/>
        </w:rPr>
      </w:pPr>
    </w:p>
    <w:p>
      <w:pPr>
        <w:ind w:left="400" w:right="60" w:hanging="394"/>
        <w:spacing w:after="0" w:line="251"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Assumes $100 invested on January 31, 2016, in Autodesk’s stock, the Standard &amp; Poor’s 500 Stock Index, and the Dow Jones U.S. Software Index, with reinvestment of all dividends. Total stockholder returns for prior periods are not an indication of future investment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6"/>
          <w:szCs w:val="16"/>
          <w:b w:val="1"/>
          <w:bCs w:val="1"/>
          <w:color w:val="0696D7"/>
        </w:rPr>
        <w:t>SELECTED FINANCIAL DATA</w:t>
      </w:r>
    </w:p>
    <w:p>
      <w:pPr>
        <w:spacing w:after="0" w:line="247"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2021 and 2020, are derived from, and are qualified by reference to, the audited consolidated financial statements that are included in this Form 10-K. The Consolidated Statements of Operations and the Consolidated Statements of Cash Flows data for the fiscal year ended January 31, 2019, are derived from, and are qualified by reference to, the audited consolidated financial statements that are included in this Form 10-K. The Consolidated Balance Sheet data for the fiscal year ended January 31, 2019, and the remaining financial data for the fiscal years ended January 31, 2018 and 2017, are derived from audited consolidated financial statements which are not included in this Form 10-K.</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left="503"/>
              <w:spacing w:after="0"/>
              <w:rPr>
                <w:sz w:val="20"/>
                <w:szCs w:val="20"/>
                <w:color w:val="auto"/>
              </w:rPr>
            </w:pPr>
            <w:r>
              <w:rPr>
                <w:rFonts w:ascii="Arial" w:cs="Arial" w:eastAsia="Arial" w:hAnsi="Arial"/>
                <w:sz w:val="14"/>
                <w:szCs w:val="14"/>
                <w:b w:val="1"/>
                <w:bCs w:val="1"/>
                <w:color w:val="auto"/>
                <w:w w:val="91"/>
              </w:rPr>
              <w:t>Fiscal Year Ended January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 (1)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1"/>
              </w:rPr>
              <w:t>2019 (2)</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r>
      <w:tr>
        <w:trPr>
          <w:trHeight w:val="178"/>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4"/>
          </w:tcPr>
          <w:p>
            <w:pPr>
              <w:jc w:val="center"/>
              <w:ind w:left="503"/>
              <w:spacing w:after="0"/>
              <w:rPr>
                <w:sz w:val="20"/>
                <w:szCs w:val="20"/>
                <w:color w:val="auto"/>
              </w:rPr>
            </w:pPr>
            <w:r>
              <w:rPr>
                <w:rFonts w:ascii="Arial" w:cs="Arial" w:eastAsia="Arial" w:hAnsi="Arial"/>
                <w:sz w:val="14"/>
                <w:szCs w:val="14"/>
                <w:b w:val="1"/>
                <w:bCs w:val="1"/>
                <w:color w:val="auto"/>
                <w:w w:val="90"/>
              </w:rPr>
              <w:t>(In millions, except per share data)</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2"/>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3,790.4</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3,274.3</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2,569.8</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2,056.6</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2,031.0</w:t>
            </w:r>
          </w:p>
        </w:tc>
      </w:tr>
      <w:tr>
        <w:trPr>
          <w:trHeight w:val="208"/>
        </w:trPr>
        <w:tc>
          <w:tcPr>
            <w:tcW w:w="4760" w:type="dxa"/>
            <w:vAlign w:val="bottom"/>
          </w:tcPr>
          <w:p>
            <w:pPr>
              <w:ind w:left="34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629.1</w:t>
            </w:r>
          </w:p>
        </w:tc>
        <w:tc>
          <w:tcPr>
            <w:tcW w:w="3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343.0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4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(509.1)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(499.6)</w:t>
            </w:r>
          </w:p>
        </w:tc>
      </w:tr>
      <w:tr>
        <w:trPr>
          <w:trHeight w:val="214"/>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(loss) (3)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1,208.2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214.5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(566.9)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w:t>
            </w:r>
          </w:p>
        </w:tc>
      </w:tr>
      <w:tr>
        <w:trPr>
          <w:trHeight w:val="208"/>
        </w:trPr>
        <w:tc>
          <w:tcPr>
            <w:tcW w:w="4760" w:type="dxa"/>
            <w:vAlign w:val="bottom"/>
          </w:tcPr>
          <w:p>
            <w:pPr>
              <w:ind w:left="340"/>
              <w:spacing w:after="0"/>
              <w:rPr>
                <w:sz w:val="20"/>
                <w:szCs w:val="20"/>
                <w:color w:val="auto"/>
              </w:rPr>
            </w:pPr>
            <w:r>
              <w:rPr>
                <w:rFonts w:ascii="Arial" w:cs="Arial" w:eastAsia="Arial" w:hAnsi="Arial"/>
                <w:sz w:val="16"/>
                <w:szCs w:val="16"/>
                <w:color w:val="auto"/>
              </w:rPr>
              <w:t>Cash flow from operations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1,437.2</w:t>
            </w:r>
          </w:p>
        </w:tc>
        <w:tc>
          <w:tcPr>
            <w:tcW w:w="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1,415.1</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377.1</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169.7</w:t>
            </w: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data: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4760" w:type="dxa"/>
            <w:vAlign w:val="bottom"/>
          </w:tcPr>
          <w:p>
            <w:pPr>
              <w:ind w:left="340"/>
              <w:spacing w:after="0"/>
              <w:rPr>
                <w:sz w:val="20"/>
                <w:szCs w:val="20"/>
                <w:color w:val="auto"/>
              </w:rPr>
            </w:pPr>
            <w:r>
              <w:rPr>
                <w:rFonts w:ascii="Arial" w:cs="Arial" w:eastAsia="Arial" w:hAnsi="Arial"/>
                <w:sz w:val="16"/>
                <w:szCs w:val="16"/>
                <w:color w:val="auto"/>
              </w:rPr>
              <w:t>Basic net income (loss) per share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5.51</w:t>
            </w:r>
          </w:p>
        </w:tc>
        <w:tc>
          <w:tcPr>
            <w:tcW w:w="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0.98</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(0.37)</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(2.58)</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4"/>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net income (loss) per share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5.44</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0.96</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8"/>
        </w:trPr>
        <w:tc>
          <w:tcPr>
            <w:tcW w:w="4760" w:type="dxa"/>
            <w:vAlign w:val="bottom"/>
          </w:tcPr>
          <w:p>
            <w:pPr>
              <w:ind w:left="20"/>
              <w:spacing w:after="0"/>
              <w:rPr>
                <w:sz w:val="20"/>
                <w:szCs w:val="20"/>
                <w:color w:val="auto"/>
              </w:rPr>
            </w:pPr>
            <w:r>
              <w:rPr>
                <w:rFonts w:ascii="Arial" w:cs="Arial" w:eastAsia="Arial" w:hAnsi="Arial"/>
                <w:sz w:val="16"/>
                <w:szCs w:val="16"/>
                <w:color w:val="auto"/>
              </w:rPr>
              <w:t>Balance sheet data:</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7,279.8</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6,179.3</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4,729.2</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4,113.6</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4,798.1</w:t>
            </w:r>
          </w:p>
        </w:tc>
      </w:tr>
      <w:tr>
        <w:trPr>
          <w:trHeight w:val="208"/>
        </w:trPr>
        <w:tc>
          <w:tcPr>
            <w:tcW w:w="4760" w:type="dxa"/>
            <w:vAlign w:val="bottom"/>
          </w:tcPr>
          <w:p>
            <w:pPr>
              <w:ind w:left="3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3,059.6</w:t>
            </w:r>
          </w:p>
        </w:tc>
        <w:tc>
          <w:tcPr>
            <w:tcW w:w="3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3,099.2</w:t>
            </w:r>
          </w:p>
        </w:tc>
        <w:tc>
          <w:tcPr>
            <w:tcW w:w="28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2,638.9</w:t>
            </w:r>
          </w:p>
        </w:tc>
        <w:tc>
          <w:tcPr>
            <w:tcW w:w="46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2,246.4</w:t>
            </w:r>
          </w:p>
        </w:tc>
        <w:tc>
          <w:tcPr>
            <w:tcW w:w="3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1,879.1</w:t>
            </w:r>
          </w:p>
        </w:tc>
      </w:tr>
      <w:tr>
        <w:trPr>
          <w:trHeight w:val="214"/>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Stockholders’ equity (deficit)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965.5</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(139.1)</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(256.0)</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733.6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right="440" w:hanging="394"/>
        <w:spacing w:after="0" w:line="244"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the impact of the adoption of a new accounting standard in fiscal year 2020, Accounting Standards Codification ("ASC") Topic 842. Prior periods were not adjusted.</w:t>
      </w:r>
    </w:p>
    <w:p>
      <w:pPr>
        <w:ind w:left="400" w:hanging="394"/>
        <w:spacing w:after="0"/>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the impact of the adoption of new accounting standards in fiscal year 2019 related to ASC Topic 606 and ASC Topic 340. Prior periods were not adjusted.</w:t>
      </w:r>
    </w:p>
    <w:p>
      <w:pPr>
        <w:spacing w:after="0" w:line="12" w:lineRule="exact"/>
        <w:rPr>
          <w:rFonts w:ascii="Arial" w:cs="Arial" w:eastAsia="Arial" w:hAnsi="Arial"/>
          <w:sz w:val="15"/>
          <w:szCs w:val="15"/>
          <w:color w:val="auto"/>
        </w:rPr>
      </w:pPr>
    </w:p>
    <w:p>
      <w:pPr>
        <w:ind w:left="400" w:hanging="394"/>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income tax benefit of $661.5 million primarily due to the U.S. valuation allowance release of $679.0 million in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6"/>
          <w:szCs w:val="16"/>
          <w:b w:val="1"/>
          <w:bCs w:val="1"/>
          <w:color w:val="0696D7"/>
        </w:rPr>
        <w:t>MANAGEMENT’S DISCUSSION AND ANALYSIS OF FINANCIAL CONDITION AND RESULTS OF OPERATIONS</w:t>
      </w:r>
    </w:p>
    <w:p>
      <w:pPr>
        <w:spacing w:after="0" w:line="247" w:lineRule="exact"/>
        <w:rPr>
          <w:sz w:val="20"/>
          <w:szCs w:val="20"/>
          <w:color w:val="auto"/>
        </w:rPr>
      </w:pPr>
    </w:p>
    <w:p>
      <w:pPr>
        <w:ind w:firstLine="435"/>
        <w:spacing w:after="0" w:line="24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This discussion contains forward-looking statements based upon current expectations that involve risks and uncertainties. Our actual results may differ materially from those anticipated in these forward-looking statements as a result of several factors, including those set forth above in Part I, Item 1A, "Risk Factors," and elsewhere in this report. See “Forward-Looking Information” immediately preceding Part 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7" w:lineRule="exact"/>
        <w:rPr>
          <w:sz w:val="20"/>
          <w:szCs w:val="20"/>
          <w:color w:val="auto"/>
        </w:rPr>
      </w:pPr>
    </w:p>
    <w:p>
      <w:pPr>
        <w:ind w:right="280" w:firstLine="396"/>
        <w:spacing w:after="0" w:line="250"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219" w:lineRule="exact"/>
        <w:rPr>
          <w:sz w:val="20"/>
          <w:szCs w:val="20"/>
          <w:color w:val="auto"/>
        </w:rPr>
      </w:pPr>
    </w:p>
    <w:p>
      <w:pPr>
        <w:jc w:val="both"/>
        <w:ind w:right="140" w:firstLine="396"/>
        <w:spacing w:after="0" w:line="253" w:lineRule="auto"/>
        <w:rPr>
          <w:sz w:val="20"/>
          <w:szCs w:val="20"/>
          <w:color w:val="auto"/>
        </w:rPr>
      </w:pPr>
      <w:r>
        <w:rPr>
          <w:rFonts w:ascii="Arial" w:cs="Arial" w:eastAsia="Arial" w:hAnsi="Arial"/>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216"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19"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have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Product Evolution</w:t>
      </w:r>
    </w:p>
    <w:p>
      <w:pPr>
        <w:spacing w:after="0" w:line="241" w:lineRule="exact"/>
        <w:rPr>
          <w:sz w:val="20"/>
          <w:szCs w:val="20"/>
          <w:color w:val="auto"/>
        </w:rPr>
      </w:pPr>
    </w:p>
    <w:p>
      <w:pPr>
        <w:ind w:right="140" w:firstLine="396"/>
        <w:spacing w:after="0" w:line="253" w:lineRule="auto"/>
        <w:rPr>
          <w:sz w:val="20"/>
          <w:szCs w:val="20"/>
          <w:color w:val="auto"/>
        </w:rPr>
      </w:pPr>
      <w:r>
        <w:rPr>
          <w:rFonts w:ascii="Arial" w:cs="Arial" w:eastAsia="Arial" w:hAnsi="Arial"/>
          <w:sz w:val="18"/>
          <w:szCs w:val="18"/>
          <w:color w:val="auto"/>
        </w:rPr>
        <w:t>We offer subscriptions for individual products and Industry Collections, enterprise business arrangements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216" w:lineRule="exact"/>
        <w:rPr>
          <w:sz w:val="20"/>
          <w:szCs w:val="20"/>
          <w:color w:val="auto"/>
        </w:rPr>
      </w:pPr>
    </w:p>
    <w:p>
      <w:pPr>
        <w:ind w:right="180" w:firstLine="396"/>
        <w:spacing w:after="0" w:line="287" w:lineRule="auto"/>
        <w:rPr>
          <w:sz w:val="20"/>
          <w:szCs w:val="20"/>
          <w:color w:val="auto"/>
        </w:rPr>
      </w:pPr>
      <w:r>
        <w:rPr>
          <w:rFonts w:ascii="Arial" w:cs="Arial" w:eastAsia="Arial" w:hAnsi="Arial"/>
          <w:sz w:val="16"/>
          <w:szCs w:val="16"/>
          <w:color w:val="auto"/>
        </w:rPr>
        <w:t>Our subscription plans currently represent a hybrid of desktop software and cloud functionality, which provides a device-independent, collaborative design workflow for designers and their stakeholders. Our cloud offerings, for example, BIM 360, Shotgun,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192" w:lineRule="exact"/>
        <w:rPr>
          <w:sz w:val="20"/>
          <w:szCs w:val="20"/>
          <w:color w:val="auto"/>
        </w:rPr>
      </w:pPr>
    </w:p>
    <w:p>
      <w:pPr>
        <w:ind w:right="240" w:firstLine="396"/>
        <w:spacing w:after="0" w:line="262" w:lineRule="auto"/>
        <w:rPr>
          <w:sz w:val="20"/>
          <w:szCs w:val="20"/>
          <w:color w:val="auto"/>
        </w:rPr>
      </w:pPr>
      <w:r>
        <w:rPr>
          <w:rFonts w:ascii="Arial" w:cs="Arial" w:eastAsia="Arial" w:hAnsi="Arial"/>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208" w:lineRule="exact"/>
        <w:rPr>
          <w:sz w:val="20"/>
          <w:szCs w:val="20"/>
          <w:color w:val="auto"/>
        </w:rPr>
      </w:pPr>
    </w:p>
    <w:p>
      <w:pPr>
        <w:ind w:right="140" w:firstLine="396"/>
        <w:spacing w:after="0" w:line="287" w:lineRule="auto"/>
        <w:rPr>
          <w:sz w:val="20"/>
          <w:szCs w:val="20"/>
          <w:color w:val="auto"/>
        </w:rPr>
      </w:pPr>
      <w:r>
        <w:rPr>
          <w:rFonts w:ascii="Arial" w:cs="Arial" w:eastAsia="Arial" w:hAnsi="Arial"/>
          <w:sz w:val="16"/>
          <w:szCs w:val="16"/>
          <w:color w:val="auto"/>
        </w:rPr>
        <w:t>We discontinued the sale of new commercial licenses of most individual software products in fiscal 2016. Additionally, in fiscal 2018,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plan offerings as of May 7, 2021 and will allow customers to convert their remaining maintenance seats to subscription plan offerings prior to this date.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firstLine="396"/>
        <w:spacing w:after="0" w:line="268" w:lineRule="auto"/>
        <w:rPr>
          <w:sz w:val="20"/>
          <w:szCs w:val="20"/>
          <w:color w:val="auto"/>
        </w:rPr>
      </w:pPr>
      <w:r>
        <w:rPr>
          <w:rFonts w:ascii="Arial" w:cs="Arial" w:eastAsia="Arial" w:hAnsi="Arial"/>
          <w:sz w:val="16"/>
          <w:szCs w:val="16"/>
          <w:color w:val="auto"/>
        </w:rPr>
        <w:t>To support our strategic priority of re-imagining AEC, we are strengthening the foundation of our AEC solutions with both organic and inorganic investments. In fiscal 2021, we acquired Spacemaker which uses cloud-based, artificial intelligence (AI), and generative design to help architects, urban designers, and real estate developers make faster and more informed early-stage design decisions which can help maximize the long-term sustainability and return from property investments. Other acquisitions in fiscal 2021 included solutions that use artificial intelligence and machine learning to extract and process data from project plans and specifications allowing general contractors, subcontractors, and owners to automate workflows such as submittals and project closeout, as well as a leading provider of post-processing and machine simulation solutions in manufacturing.</w:t>
      </w:r>
    </w:p>
    <w:p>
      <w:pPr>
        <w:spacing w:after="0" w:line="192" w:lineRule="exact"/>
        <w:rPr>
          <w:sz w:val="20"/>
          <w:szCs w:val="20"/>
          <w:color w:val="auto"/>
        </w:rPr>
      </w:pPr>
    </w:p>
    <w:p>
      <w:pPr>
        <w:ind w:right="60" w:firstLine="396"/>
        <w:spacing w:after="0" w:line="262" w:lineRule="auto"/>
        <w:rPr>
          <w:sz w:val="20"/>
          <w:szCs w:val="20"/>
          <w:color w:val="auto"/>
        </w:rPr>
      </w:pPr>
      <w:r>
        <w:rPr>
          <w:rFonts w:ascii="Arial" w:cs="Arial" w:eastAsia="Arial" w:hAnsi="Arial"/>
          <w:sz w:val="18"/>
          <w:szCs w:val="18"/>
          <w:color w:val="auto"/>
        </w:rPr>
        <w:t>As part of our strategy in manufacturing, we continue to attract both global manufacturing leaders and disruptive startups with our generative design and cloud-based Fusion 360 technology enhancements.</w:t>
      </w:r>
    </w:p>
    <w:p>
      <w:pPr>
        <w:spacing w:after="0" w:line="208" w:lineRule="exact"/>
        <w:rPr>
          <w:sz w:val="20"/>
          <w:szCs w:val="20"/>
          <w:color w:val="auto"/>
        </w:rPr>
      </w:pPr>
    </w:p>
    <w:p>
      <w:pPr>
        <w:ind w:right="20" w:firstLine="435"/>
        <w:spacing w:after="0" w:line="249"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Global Reach</w:t>
      </w:r>
    </w:p>
    <w:p>
      <w:pPr>
        <w:spacing w:after="0" w:line="241" w:lineRule="exact"/>
        <w:rPr>
          <w:sz w:val="20"/>
          <w:szCs w:val="20"/>
          <w:color w:val="auto"/>
        </w:rPr>
      </w:pPr>
    </w:p>
    <w:p>
      <w:pPr>
        <w:ind w:right="140" w:firstLine="396"/>
        <w:spacing w:after="0" w:line="249"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2, "Revenue Recognition" in the Notes to the Consolidated Financial Statements for further detail on the results of our indirect and direct channel sales for the fiscal years ended January 31, 2021, 2020, and 2019.</w:t>
      </w:r>
    </w:p>
    <w:p>
      <w:pPr>
        <w:spacing w:after="0" w:line="219" w:lineRule="exact"/>
        <w:rPr>
          <w:sz w:val="20"/>
          <w:szCs w:val="20"/>
          <w:color w:val="auto"/>
        </w:rPr>
      </w:pPr>
    </w:p>
    <w:p>
      <w:pPr>
        <w:ind w:firstLine="396"/>
        <w:spacing w:after="0" w:line="316" w:lineRule="auto"/>
        <w:rPr>
          <w:sz w:val="20"/>
          <w:szCs w:val="20"/>
          <w:color w:val="auto"/>
        </w:rPr>
      </w:pPr>
      <w:r>
        <w:rPr>
          <w:rFonts w:ascii="Arial" w:cs="Arial" w:eastAsia="Arial" w:hAnsi="Arial"/>
          <w:sz w:val="15"/>
          <w:szCs w:val="15"/>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73" w:lineRule="exact"/>
        <w:rPr>
          <w:sz w:val="20"/>
          <w:szCs w:val="20"/>
          <w:color w:val="auto"/>
        </w:rPr>
      </w:pPr>
    </w:p>
    <w:p>
      <w:pPr>
        <w:ind w:right="80" w:firstLine="396"/>
        <w:spacing w:after="0" w:line="285" w:lineRule="auto"/>
        <w:rPr>
          <w:sz w:val="20"/>
          <w:szCs w:val="20"/>
          <w:color w:val="auto"/>
        </w:rPr>
      </w:pPr>
      <w:r>
        <w:rPr>
          <w:rFonts w:ascii="Arial" w:cs="Arial" w:eastAsia="Arial" w:hAnsi="Arial"/>
          <w:sz w:val="16"/>
          <w:szCs w:val="16"/>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80" w:firstLine="396"/>
        <w:spacing w:after="0" w:line="248"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Impact at Autodesk</w:t>
      </w:r>
    </w:p>
    <w:p>
      <w:pPr>
        <w:spacing w:after="0" w:line="241" w:lineRule="exact"/>
        <w:rPr>
          <w:sz w:val="20"/>
          <w:szCs w:val="20"/>
          <w:color w:val="auto"/>
        </w:rPr>
      </w:pPr>
    </w:p>
    <w:p>
      <w:pPr>
        <w:ind w:right="40" w:firstLine="396"/>
        <w:spacing w:after="0" w:line="287" w:lineRule="auto"/>
        <w:rPr>
          <w:sz w:val="20"/>
          <w:szCs w:val="20"/>
          <w:color w:val="auto"/>
        </w:rPr>
      </w:pPr>
      <w:r>
        <w:rPr>
          <w:rFonts w:ascii="Arial" w:cs="Arial" w:eastAsia="Arial" w:hAnsi="Arial"/>
          <w:sz w:val="16"/>
          <w:szCs w:val="16"/>
          <w:color w:val="auto"/>
        </w:rPr>
        <w:t>To help our customers imagine, design, and make a better world, our impact initiatives focus our efforts on the areas where we can have the greatest positive impact: products and support for our customers, catalyzing impact and innovation across industry, investing in our customers’ and employees’ access and ability to learn and develop relevant skills for in-demand roles, and leading by example with our 100% renewable, net-zero greenhouse gas emissions, and inclusive business practices. Through our products and services, we partner with customers to help them better understand and improve the environmental, energy, and materials performance of everything they make, help them make products, buildings, and entire</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cities that foster healthy and resilient communities, and help them adapt, grow, and prosper alongside increasing levels of automation.</w:t>
      </w:r>
    </w:p>
    <w:p>
      <w:pPr>
        <w:spacing w:after="0" w:line="241"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92" w:lineRule="exact"/>
        <w:rPr>
          <w:sz w:val="20"/>
          <w:szCs w:val="20"/>
          <w:color w:val="auto"/>
        </w:rPr>
      </w:pPr>
    </w:p>
    <w:p>
      <w:pPr>
        <w:ind w:right="900" w:firstLine="396"/>
        <w:spacing w:after="0" w:line="262" w:lineRule="auto"/>
        <w:rPr>
          <w:sz w:val="20"/>
          <w:szCs w:val="20"/>
          <w:color w:val="auto"/>
        </w:rPr>
      </w:pPr>
      <w:r>
        <w:rPr>
          <w:rFonts w:ascii="Arial" w:cs="Arial" w:eastAsia="Arial" w:hAnsi="Arial"/>
          <w:sz w:val="18"/>
          <w:szCs w:val="18"/>
          <w:color w:val="auto"/>
        </w:rPr>
        <w:t>Additional information about our environmental, social, and governance program are available in our annual impact report on our website at www.autodesk.com.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Assumptions Behind Our Strategy</w:t>
      </w:r>
    </w:p>
    <w:p>
      <w:pPr>
        <w:spacing w:after="0" w:line="241" w:lineRule="exact"/>
        <w:rPr>
          <w:sz w:val="20"/>
          <w:szCs w:val="20"/>
          <w:color w:val="auto"/>
        </w:rPr>
      </w:pPr>
    </w:p>
    <w:p>
      <w:pPr>
        <w:ind w:right="20" w:firstLine="396"/>
        <w:spacing w:after="0" w:line="249"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educators, educational institutions, learning partners,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80" w:firstLine="435"/>
        <w:spacing w:after="0" w:line="249"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219" w:lineRule="exact"/>
        <w:rPr>
          <w:sz w:val="20"/>
          <w:szCs w:val="20"/>
          <w:color w:val="auto"/>
        </w:rPr>
      </w:pPr>
    </w:p>
    <w:p>
      <w:pPr>
        <w:ind w:right="40" w:firstLine="435"/>
        <w:spacing w:after="0" w:line="285" w:lineRule="auto"/>
        <w:rPr>
          <w:sz w:val="20"/>
          <w:szCs w:val="20"/>
          <w:color w:val="auto"/>
        </w:rPr>
      </w:pPr>
      <w:r>
        <w:rPr>
          <w:rFonts w:ascii="Arial" w:cs="Arial" w:eastAsia="Arial" w:hAnsi="Arial"/>
          <w:sz w:val="16"/>
          <w:szCs w:val="16"/>
          <w:color w:val="auto"/>
        </w:rPr>
        <w:t>Our significant accounting policies are described in Part II, Item 8,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spacing w:after="0" w:line="193" w:lineRule="exact"/>
        <w:rPr>
          <w:sz w:val="20"/>
          <w:szCs w:val="20"/>
          <w:color w:val="auto"/>
        </w:rPr>
      </w:pPr>
    </w:p>
    <w:p>
      <w:pPr>
        <w:ind w:right="120" w:firstLine="435"/>
        <w:spacing w:after="0" w:line="249" w:lineRule="auto"/>
        <w:rPr>
          <w:sz w:val="20"/>
          <w:szCs w:val="20"/>
          <w:color w:val="auto"/>
        </w:rPr>
      </w:pPr>
      <w:r>
        <w:rPr>
          <w:rFonts w:ascii="Arial" w:cs="Arial" w:eastAsia="Arial" w:hAnsi="Arial"/>
          <w:sz w:val="18"/>
          <w:szCs w:val="18"/>
          <w:i w:val="1"/>
          <w:iCs w:val="1"/>
          <w:color w:val="auto"/>
        </w:rPr>
        <w:t xml:space="preserve">Revenue Recognition - Judgments with Multiple Performance Obligations. </w:t>
      </w:r>
      <w:r>
        <w:rPr>
          <w:rFonts w:ascii="Arial" w:cs="Arial" w:eastAsia="Arial" w:hAnsi="Arial"/>
          <w:sz w:val="18"/>
          <w:szCs w:val="18"/>
          <w:color w:val="auto"/>
        </w:rPr>
        <w:t>Our contracts with customers may include promises to transfer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to a customer. A 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w:t>
      </w:r>
    </w:p>
    <w:p>
      <w:pPr>
        <w:spacing w:after="0" w:line="219"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its intended purpose without our cloud functionalities.</w:t>
      </w:r>
    </w:p>
    <w:p>
      <w:pPr>
        <w:spacing w:after="0" w:line="192"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35"/>
        <w:spacing w:after="0" w:line="328" w:lineRule="auto"/>
        <w:rPr>
          <w:sz w:val="20"/>
          <w:szCs w:val="20"/>
          <w:color w:val="auto"/>
        </w:rPr>
      </w:pPr>
      <w:r>
        <w:rPr>
          <w:rFonts w:ascii="Arial" w:cs="Arial" w:eastAsia="Arial" w:hAnsi="Arial"/>
          <w:sz w:val="15"/>
          <w:szCs w:val="15"/>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to determine the SSP.</w:t>
      </w:r>
    </w:p>
    <w:p>
      <w:pPr>
        <w:spacing w:after="0" w:line="163" w:lineRule="exact"/>
        <w:rPr>
          <w:sz w:val="20"/>
          <w:szCs w:val="20"/>
          <w:color w:val="auto"/>
        </w:rPr>
      </w:pPr>
    </w:p>
    <w:p>
      <w:pPr>
        <w:ind w:right="60" w:firstLine="435"/>
        <w:spacing w:after="0" w:line="307" w:lineRule="auto"/>
        <w:rPr>
          <w:sz w:val="20"/>
          <w:szCs w:val="20"/>
          <w:color w:val="auto"/>
        </w:rPr>
      </w:pPr>
      <w:r>
        <w:rPr>
          <w:rFonts w:ascii="Arial" w:cs="Arial" w:eastAsia="Arial" w:hAnsi="Arial"/>
          <w:sz w:val="15"/>
          <w:szCs w:val="15"/>
          <w:i w:val="1"/>
          <w:iCs w:val="1"/>
          <w:color w:val="auto"/>
        </w:rPr>
        <w:t xml:space="preserve">Strategic Investments. </w:t>
      </w:r>
      <w:r>
        <w:rPr>
          <w:rFonts w:ascii="Arial" w:cs="Arial" w:eastAsia="Arial" w:hAnsi="Arial"/>
          <w:sz w:val="15"/>
          <w:szCs w:val="15"/>
          <w:color w:val="auto"/>
        </w:rPr>
        <w:t>Strategic investment debt and equity securities are valued using significant unobservable inputs or data in an inactive market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valuation requires our judgment due to the absence of market prices and inherent lack of liquidity. The carrying value is adjusted for our strategic investment equity securities if there are observable price changes in a same or similar security from the same issuer or if there are identified events or changes in circumstances that may indicate impairment, as discussed below. The determination of whether an orderly transaction is for a same or similar investment requires significant management judgment including the nature of rights and obligations of the investments, the extent to which differences in those rights and obligations would affect the fair values of those investments, and the impact of any differences based on the stage of operational development of the investee.</w:t>
      </w:r>
    </w:p>
    <w:p>
      <w:pPr>
        <w:spacing w:after="0" w:line="180" w:lineRule="exact"/>
        <w:rPr>
          <w:sz w:val="20"/>
          <w:szCs w:val="20"/>
          <w:color w:val="auto"/>
        </w:rPr>
      </w:pPr>
    </w:p>
    <w:p>
      <w:pPr>
        <w:ind w:right="100" w:firstLine="396"/>
        <w:spacing w:after="0" w:line="262" w:lineRule="auto"/>
        <w:rPr>
          <w:sz w:val="20"/>
          <w:szCs w:val="20"/>
          <w:color w:val="auto"/>
        </w:rPr>
      </w:pPr>
      <w:r>
        <w:rPr>
          <w:rFonts w:ascii="Arial" w:cs="Arial" w:eastAsia="Arial" w:hAnsi="Arial"/>
          <w:sz w:val="18"/>
          <w:szCs w:val="18"/>
          <w:color w:val="auto"/>
        </w:rPr>
        <w:t>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08" w:lineRule="exact"/>
        <w:rPr>
          <w:sz w:val="20"/>
          <w:szCs w:val="20"/>
          <w:color w:val="auto"/>
        </w:rPr>
      </w:pPr>
    </w:p>
    <w:p>
      <w:pPr>
        <w:ind w:right="20" w:firstLine="396"/>
        <w:spacing w:after="0" w:line="281" w:lineRule="auto"/>
        <w:rPr>
          <w:sz w:val="20"/>
          <w:szCs w:val="20"/>
          <w:color w:val="auto"/>
        </w:rPr>
      </w:pPr>
      <w:r>
        <w:rPr>
          <w:rFonts w:ascii="Arial" w:cs="Arial" w:eastAsia="Arial" w:hAnsi="Arial"/>
          <w:sz w:val="16"/>
          <w:szCs w:val="16"/>
          <w:color w:val="auto"/>
        </w:rPr>
        <w:t>We assess our strategic investment debt and equity securities portfolio quarterly for impairment. Strategic investment equity securities are assessed based on available information such as current cash positions,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98"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auto"/>
        </w:rPr>
        <w:t>For our quarterly impairment assessment of privately held debt and equity securities,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219" w:lineRule="exact"/>
        <w:rPr>
          <w:sz w:val="20"/>
          <w:szCs w:val="20"/>
          <w:color w:val="auto"/>
        </w:rPr>
      </w:pPr>
    </w:p>
    <w:p>
      <w:pPr>
        <w:jc w:val="both"/>
        <w:ind w:right="300" w:firstLine="396"/>
        <w:spacing w:after="0" w:line="300"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assets acquired and liabilities assumed in a business combination are recorded based on their estimated fair values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Any residual purchase price is recorded as goodwill. Accounting for business combinations requires us to make significant estimates and assumptions, especially at the acquisition date with respect to intangible assets and deferred revenue obligations.</w:t>
      </w:r>
    </w:p>
    <w:p>
      <w:pPr>
        <w:spacing w:after="0" w:line="181" w:lineRule="exact"/>
        <w:rPr>
          <w:sz w:val="20"/>
          <w:szCs w:val="20"/>
          <w:color w:val="auto"/>
        </w:rPr>
      </w:pPr>
    </w:p>
    <w:p>
      <w:pPr>
        <w:ind w:right="120" w:firstLine="396"/>
        <w:spacing w:after="0" w:line="292" w:lineRule="auto"/>
        <w:rPr>
          <w:sz w:val="20"/>
          <w:szCs w:val="20"/>
          <w:color w:val="auto"/>
        </w:rPr>
      </w:pPr>
      <w:r>
        <w:rPr>
          <w:rFonts w:ascii="Arial" w:cs="Arial" w:eastAsia="Arial" w:hAnsi="Arial"/>
          <w:sz w:val="16"/>
          <w:szCs w:val="16"/>
          <w:color w:val="auto"/>
        </w:rPr>
        <w:t>Although we believe the assumptions and estimates we have made are reasonable, they are based in part on historical experience and information obtained from the management of the acquired companies and are inherently uncertain and unpredictable. Unanticipated events and circumstances may occur which may affect the accuracy or validity of such assumptions, estimates, or actual results. Examples of critical estimates used in valuing certain of the intangible assets and in determining the assets’ useful lives for the assets we have acquired or may acquire in the future include but are not limited to:</w:t>
      </w:r>
    </w:p>
    <w:p>
      <w:pPr>
        <w:spacing w:after="0" w:line="54" w:lineRule="exact"/>
        <w:rPr>
          <w:sz w:val="20"/>
          <w:szCs w:val="20"/>
          <w:color w:val="auto"/>
        </w:rPr>
      </w:pPr>
    </w:p>
    <w:p>
      <w:pPr>
        <w:ind w:left="640" w:hanging="31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expected cash flows from sales, subscriptions and maintenance agreements, and acquired developed technologies;</w:t>
      </w:r>
    </w:p>
    <w:p>
      <w:pPr>
        <w:spacing w:after="0" w:line="109" w:lineRule="exact"/>
        <w:rPr>
          <w:rFonts w:ascii="Arial" w:cs="Arial" w:eastAsia="Arial" w:hAnsi="Arial"/>
          <w:sz w:val="18"/>
          <w:szCs w:val="18"/>
          <w:color w:val="auto"/>
        </w:rPr>
      </w:pPr>
    </w:p>
    <w:p>
      <w:pPr>
        <w:ind w:left="640" w:right="120" w:hanging="318"/>
        <w:spacing w:after="0" w:line="26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acquired company's trade name, trademark and existing customer relationship, as well as assumptions about the period of time the acquired trade name and trademark will continue to be used in our product portfolio;</w:t>
      </w:r>
    </w:p>
    <w:p>
      <w:pPr>
        <w:spacing w:after="0" w:line="75" w:lineRule="exact"/>
        <w:rPr>
          <w:rFonts w:ascii="Arial" w:cs="Arial" w:eastAsia="Arial" w:hAnsi="Arial"/>
          <w:sz w:val="18"/>
          <w:szCs w:val="18"/>
          <w:color w:val="auto"/>
        </w:rPr>
      </w:pPr>
    </w:p>
    <w:p>
      <w:pPr>
        <w:ind w:left="640" w:right="360" w:hanging="318"/>
        <w:spacing w:after="0" w:line="26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 tax positions and tax related valuation allowances assumed; and</w:t>
      </w:r>
    </w:p>
    <w:p>
      <w:pPr>
        <w:spacing w:after="0" w:line="109" w:lineRule="exact"/>
        <w:rPr>
          <w:rFonts w:ascii="Arial" w:cs="Arial" w:eastAsia="Arial" w:hAnsi="Arial"/>
          <w:sz w:val="18"/>
          <w:szCs w:val="18"/>
          <w:color w:val="auto"/>
        </w:rPr>
      </w:pPr>
    </w:p>
    <w:p>
      <w:pPr>
        <w:ind w:left="640" w:hanging="31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firstLine="435"/>
        <w:spacing w:after="0" w:line="28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quarterly, or</w:t>
      </w:r>
      <w:r>
        <w:rPr>
          <w:rFonts w:ascii="Arial" w:cs="Arial" w:eastAsia="Arial" w:hAnsi="Arial"/>
          <w:sz w:val="16"/>
          <w:szCs w:val="16"/>
          <w:i w:val="1"/>
          <w:iCs w:val="1"/>
          <w:color w:val="auto"/>
        </w:rPr>
        <w:t xml:space="preserve"> </w:t>
      </w:r>
      <w:r>
        <w:rPr>
          <w:rFonts w:ascii="Arial" w:cs="Arial" w:eastAsia="Arial" w:hAnsi="Arial"/>
          <w:sz w:val="16"/>
          <w:szCs w:val="16"/>
          <w:color w:val="auto"/>
        </w:rPr>
        <w:t>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92" w:lineRule="exact"/>
        <w:rPr>
          <w:sz w:val="20"/>
          <w:szCs w:val="20"/>
          <w:color w:val="auto"/>
        </w:rPr>
      </w:pPr>
    </w:p>
    <w:p>
      <w:pPr>
        <w:ind w:right="100" w:firstLine="435"/>
        <w:spacing w:after="0" w:line="253"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w:t>
      </w:r>
    </w:p>
    <w:p>
      <w:pPr>
        <w:spacing w:after="0" w:line="216" w:lineRule="exact"/>
        <w:rPr>
          <w:sz w:val="20"/>
          <w:szCs w:val="20"/>
          <w:color w:val="auto"/>
        </w:rPr>
      </w:pPr>
    </w:p>
    <w:p>
      <w:pPr>
        <w:ind w:right="20" w:firstLine="435"/>
        <w:spacing w:after="0" w:line="292" w:lineRule="auto"/>
        <w:rPr>
          <w:sz w:val="20"/>
          <w:szCs w:val="20"/>
          <w:color w:val="auto"/>
        </w:rPr>
      </w:pPr>
      <w:r>
        <w:rPr>
          <w:rFonts w:ascii="Arial" w:cs="Arial" w:eastAsia="Arial" w:hAnsi="Arial"/>
          <w:sz w:val="16"/>
          <w:szCs w:val="16"/>
          <w:color w:val="auto"/>
        </w:rPr>
        <w:t>The key assumptions that we use in our discounted cash flow model include the amount and timing of estimated future cash flows to be generated by the asset over an extended period of time and a rate of return that considers the relative risk of achieving the cash flows and the time value of money. Significant judgment is required to estimate the amount and timing of future cash flows and the relative risk of achieving those cash flows. We also make judgments about the remaining useful lives of acquired intangible assets and other long-lived assets that have finite lives.</w:t>
      </w:r>
    </w:p>
    <w:p>
      <w:pPr>
        <w:spacing w:after="0" w:line="186" w:lineRule="exact"/>
        <w:rPr>
          <w:sz w:val="20"/>
          <w:szCs w:val="20"/>
          <w:color w:val="auto"/>
        </w:rPr>
      </w:pPr>
    </w:p>
    <w:p>
      <w:pPr>
        <w:ind w:right="260" w:firstLine="435"/>
        <w:spacing w:after="0" w:line="325" w:lineRule="auto"/>
        <w:rPr>
          <w:sz w:val="20"/>
          <w:szCs w:val="20"/>
          <w:color w:val="auto"/>
        </w:rPr>
      </w:pPr>
      <w:r>
        <w:rPr>
          <w:rFonts w:ascii="Arial" w:cs="Arial" w:eastAsia="Arial" w:hAnsi="Arial"/>
          <w:sz w:val="16"/>
          <w:szCs w:val="16"/>
          <w:color w:val="auto"/>
        </w:rPr>
        <w:t>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61" w:lineRule="exact"/>
        <w:rPr>
          <w:sz w:val="20"/>
          <w:szCs w:val="20"/>
          <w:color w:val="auto"/>
        </w:rPr>
      </w:pPr>
    </w:p>
    <w:p>
      <w:pPr>
        <w:ind w:right="100" w:firstLine="435"/>
        <w:spacing w:after="0" w:line="24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 tax</w:t>
      </w:r>
      <w:r>
        <w:rPr>
          <w:rFonts w:ascii="Arial" w:cs="Arial" w:eastAsia="Arial" w:hAnsi="Arial"/>
          <w:sz w:val="18"/>
          <w:szCs w:val="18"/>
          <w:i w:val="1"/>
          <w:iCs w:val="1"/>
          <w:color w:val="auto"/>
        </w:rPr>
        <w:t xml:space="preserve"> </w:t>
      </w:r>
      <w:r>
        <w:rPr>
          <w:rFonts w:ascii="Arial" w:cs="Arial" w:eastAsia="Arial" w:hAnsi="Arial"/>
          <w:sz w:val="18"/>
          <w:szCs w:val="18"/>
          <w:color w:val="auto"/>
        </w:rPr>
        <w:t>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the more likely than not threshold for recognition. We recognize potential accrued interest and penalties related to unrecognized tax benefits as income tax expense.</w:t>
      </w:r>
    </w:p>
    <w:p>
      <w:pPr>
        <w:spacing w:after="0" w:line="219"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or release of a valuation allowance, we consider all available evidence including past operating results and estimates of future taxable income.</w:t>
      </w:r>
    </w:p>
    <w:p>
      <w:pPr>
        <w:spacing w:after="0" w:line="192" w:lineRule="exact"/>
        <w:rPr>
          <w:sz w:val="20"/>
          <w:szCs w:val="20"/>
          <w:color w:val="auto"/>
        </w:rPr>
      </w:pPr>
    </w:p>
    <w:p>
      <w:pPr>
        <w:jc w:val="both"/>
        <w:ind w:right="300" w:firstLine="396"/>
        <w:spacing w:after="0" w:line="300" w:lineRule="auto"/>
        <w:rPr>
          <w:sz w:val="20"/>
          <w:szCs w:val="20"/>
          <w:color w:val="auto"/>
        </w:rPr>
      </w:pPr>
      <w:r>
        <w:rPr>
          <w:rFonts w:ascii="Arial" w:cs="Arial" w:eastAsia="Arial" w:hAnsi="Arial"/>
          <w:sz w:val="16"/>
          <w:szCs w:val="16"/>
          <w:color w:val="auto"/>
        </w:rPr>
        <w:t>As we continually strive to optimize our overall business model, tax planning strategies may become feasible and prudent whereby management may determine that it is more likely than not that the Netherlands, Canada, California, Michigan and U.S. capital loss deferred tax assets will be realized. Each quarter we will continue to evaluate the positive and negative evidence of our ability to utilize our global deferred tax assets.</w:t>
      </w:r>
    </w:p>
    <w:p>
      <w:pPr>
        <w:spacing w:after="0" w:line="181"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i w:val="1"/>
          <w:iCs w:val="1"/>
          <w:color w:val="auto"/>
        </w:rPr>
        <w:t>Loss Contingencies</w:t>
      </w:r>
      <w:r>
        <w:rPr>
          <w:rFonts w:ascii="Arial" w:cs="Arial" w:eastAsia="Arial" w:hAnsi="Arial"/>
          <w:sz w:val="16"/>
          <w:szCs w:val="16"/>
          <w:color w:val="auto"/>
        </w:rPr>
        <w:t>. As described in Part I, Item 3, “Legal Proceedings” and Part II, Item 8, Note 10, “Commitments and Contingencies,” in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Significant judgment is required to determine both the likelihood of there being, and the estimated amount of, a loss related to such matters. Due to inherent uncertainties related to these matters, we base our loss accruals on the best information available at the time. Until the final resolution of such matters, there may be an exposure to loss in excess of the amount recorded. As additional information becomes available, we reassess our potential liability and may revise our estimates. Such revisions could have a material impact on future quarterly or annual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47" w:lineRule="exact"/>
        <w:rPr>
          <w:sz w:val="20"/>
          <w:szCs w:val="20"/>
          <w:color w:val="auto"/>
        </w:rPr>
      </w:pPr>
    </w:p>
    <w:p>
      <w:pPr>
        <w:ind w:right="280" w:firstLine="435"/>
        <w:spacing w:after="0" w:line="253"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2021</w:t>
      </w:r>
    </w:p>
    <w:p>
      <w:pPr>
        <w:spacing w:after="0" w:line="247" w:lineRule="exact"/>
        <w:rPr>
          <w:sz w:val="20"/>
          <w:szCs w:val="20"/>
          <w:color w:val="auto"/>
        </w:rPr>
      </w:pPr>
    </w:p>
    <w:p>
      <w:pPr>
        <w:ind w:left="640" w:hanging="31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net revenue was $3.79 billion during fiscal 2021, an increase of 16% compared to the prior fiscal year.</w:t>
      </w:r>
    </w:p>
    <w:p>
      <w:pPr>
        <w:spacing w:after="0" w:line="109" w:lineRule="exact"/>
        <w:rPr>
          <w:rFonts w:ascii="Arial" w:cs="Arial" w:eastAsia="Arial" w:hAnsi="Arial"/>
          <w:sz w:val="18"/>
          <w:szCs w:val="18"/>
          <w:color w:val="auto"/>
        </w:rPr>
      </w:pPr>
    </w:p>
    <w:p>
      <w:pPr>
        <w:ind w:left="640" w:right="220" w:hanging="318"/>
        <w:spacing w:after="0" w:line="26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Recurring revenue as a percentage of net revenue was 97% for the fiscal year ending January 31, 2021, compared to 96% for the same period in the prior fiscal year.</w:t>
      </w:r>
    </w:p>
    <w:p>
      <w:pPr>
        <w:spacing w:after="0" w:line="75" w:lineRule="exact"/>
        <w:rPr>
          <w:rFonts w:ascii="Arial" w:cs="Arial" w:eastAsia="Arial" w:hAnsi="Arial"/>
          <w:sz w:val="18"/>
          <w:szCs w:val="18"/>
          <w:color w:val="auto"/>
        </w:rPr>
      </w:pPr>
    </w:p>
    <w:p>
      <w:pPr>
        <w:ind w:left="640" w:right="300" w:hanging="318"/>
        <w:spacing w:after="0" w:line="26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revenue retention rate (“NR3”) was within the range of 100% and 110% as of January 31, 2021, and within the range of 110% and 120% as of January 31, 2020.</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revenue was $3.36 billion, an increase of 12% compared to the prior fiscal year.</w:t>
      </w:r>
    </w:p>
    <w:p>
      <w:pPr>
        <w:spacing w:after="0" w:line="109" w:lineRule="exact"/>
        <w:rPr>
          <w:rFonts w:ascii="Arial" w:cs="Arial" w:eastAsia="Arial" w:hAnsi="Arial"/>
          <w:sz w:val="18"/>
          <w:szCs w:val="18"/>
          <w:color w:val="auto"/>
        </w:rPr>
      </w:pPr>
    </w:p>
    <w:p>
      <w:pPr>
        <w:ind w:left="640" w:right="560" w:hanging="318"/>
        <w:spacing w:after="0" w:line="26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Remaining performance obligations (short-term and long-term deferred revenue plus unbilled deferred revenue) (“RPO”) was $4.24 billion, an increase of 19% compared to the fourth quarter in the prior fiscal year.</w:t>
      </w:r>
    </w:p>
    <w:p>
      <w:pPr>
        <w:spacing w:after="0" w:line="75" w:lineRule="exact"/>
        <w:rPr>
          <w:rFonts w:ascii="Arial" w:cs="Arial" w:eastAsia="Arial" w:hAnsi="Arial"/>
          <w:sz w:val="18"/>
          <w:szCs w:val="18"/>
          <w:color w:val="auto"/>
        </w:rPr>
      </w:pPr>
    </w:p>
    <w:p>
      <w:pPr>
        <w:ind w:left="640" w:hanging="31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remaining performance obligations were $2.74 billion, an increase of 16% compared to the prior fiscal year.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Analysis</w:t>
      </w:r>
    </w:p>
    <w:p>
      <w:pPr>
        <w:spacing w:after="0" w:line="241" w:lineRule="exact"/>
        <w:rPr>
          <w:sz w:val="20"/>
          <w:szCs w:val="20"/>
          <w:color w:val="auto"/>
        </w:rPr>
      </w:pPr>
    </w:p>
    <w:p>
      <w:pPr>
        <w:ind w:right="620" w:firstLine="396"/>
        <w:spacing w:after="0" w:line="262" w:lineRule="auto"/>
        <w:rPr>
          <w:sz w:val="20"/>
          <w:szCs w:val="20"/>
          <w:color w:val="auto"/>
        </w:rPr>
      </w:pPr>
      <w:r>
        <w:rPr>
          <w:rFonts w:ascii="Arial" w:cs="Arial" w:eastAsia="Arial" w:hAnsi="Arial"/>
          <w:sz w:val="18"/>
          <w:szCs w:val="18"/>
          <w:color w:val="auto"/>
        </w:rPr>
        <w:t>During fiscal 2021, net revenue increased 16%, as compared to the prior fiscal year, primarily due to a 26% increase in subscription revenue. The increase in subscription revenue was partially offset by a 53% decrease in maintenance revenue.</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41" w:lineRule="exact"/>
        <w:rPr>
          <w:sz w:val="20"/>
          <w:szCs w:val="20"/>
          <w:color w:val="auto"/>
        </w:rPr>
      </w:pPr>
    </w:p>
    <w:p>
      <w:pPr>
        <w:ind w:right="80" w:firstLine="396"/>
        <w:spacing w:after="0" w:line="282" w:lineRule="auto"/>
        <w:rPr>
          <w:sz w:val="20"/>
          <w:szCs w:val="20"/>
          <w:color w:val="auto"/>
        </w:rPr>
      </w:pPr>
      <w:r>
        <w:rPr>
          <w:rFonts w:ascii="Arial" w:cs="Arial" w:eastAsia="Arial" w:hAnsi="Arial"/>
          <w:sz w:val="16"/>
          <w:szCs w:val="16"/>
          <w:color w:val="auto"/>
        </w:rPr>
        <w:t>We rely significantly upon major distributors and resellers in both the United States and international regions, including Tech Data Corporation and its global affiliates (collectively, “Tech Data”) and Ingram Micro Inc. (“Ingram Micro”). Total sales to Tech Data accounted for 37% of Autodesk’ total net revenue during fiscal 2021 and 35% of Autodesk’s total net revenue during both fiscal 2020 and 2019. During both fiscal 2021 and 2020, Ingram Micro accounted for 10% of Autodesk's total net revenue and during fiscal 2019, Ingram Micro accounted for 11% of Autodesk’s total net revenue. Our customers through Tech Data and Ingram Micro are the resellers and end users who purchase our software subscriptions and services. Should any of our agreements with Tech Data or Ingram Micro be terminated for any reason,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Tech Data or Ingram Micro.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Recurring Revenue and Net Revenue Retention Rate</w:t>
      </w:r>
    </w:p>
    <w:p>
      <w:pPr>
        <w:spacing w:after="0" w:line="241"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outlines our recurring revenue metric for the fiscal years ended January 31, 2021, 2020, and 2019: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Change compared to</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Change compared to</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1"/>
              </w:rPr>
              <w:t>prior fiscal year end</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prior fiscal year end</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85"/>
              <w:spacing w:after="0"/>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124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Fiscal Year Ended</w:t>
            </w:r>
          </w:p>
        </w:tc>
        <w:tc>
          <w:tcPr>
            <w:tcW w:w="240" w:type="dxa"/>
            <w:vAlign w:val="bottom"/>
          </w:tcPr>
          <w:p>
            <w:pPr>
              <w:spacing w:after="0"/>
              <w:rPr>
                <w:sz w:val="9"/>
                <w:szCs w:val="9"/>
                <w:color w:val="auto"/>
              </w:rPr>
            </w:pPr>
          </w:p>
        </w:tc>
        <w:tc>
          <w:tcPr>
            <w:tcW w:w="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tcPr>
          <w:p>
            <w:pPr>
              <w:ind w:left="40"/>
              <w:spacing w:after="0" w:line="106" w:lineRule="exact"/>
              <w:rPr>
                <w:sz w:val="20"/>
                <w:szCs w:val="20"/>
                <w:color w:val="auto"/>
              </w:rPr>
            </w:pPr>
            <w:r>
              <w:rPr>
                <w:rFonts w:ascii="Arial" w:cs="Arial" w:eastAsia="Arial" w:hAnsi="Arial"/>
                <w:sz w:val="12"/>
                <w:szCs w:val="12"/>
                <w:b w:val="1"/>
                <w:bCs w:val="1"/>
                <w:color w:val="auto"/>
              </w:rPr>
              <w:t>Fiscal Year Ended</w:t>
            </w:r>
          </w:p>
        </w:tc>
        <w:tc>
          <w:tcPr>
            <w:tcW w:w="240" w:type="dxa"/>
            <w:vAlign w:val="bottom"/>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rPr>
              <w:t>Ended January</w:t>
            </w:r>
          </w:p>
        </w:tc>
        <w:tc>
          <w:tcPr>
            <w:tcW w:w="0" w:type="dxa"/>
            <w:vAlign w:val="bottom"/>
          </w:tcPr>
          <w:p>
            <w:pPr>
              <w:spacing w:after="0"/>
              <w:rPr>
                <w:sz w:val="1"/>
                <w:szCs w:val="1"/>
                <w:color w:val="auto"/>
              </w:rPr>
            </w:pPr>
          </w:p>
        </w:tc>
      </w:tr>
      <w:tr>
        <w:trPr>
          <w:trHeight w:val="184"/>
        </w:trPr>
        <w:tc>
          <w:tcPr>
            <w:tcW w:w="33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January 31, 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January 31, 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1"/>
              </w:rPr>
              <w:t>31, 2019</w:t>
            </w: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(1)</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$3,662.2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17 %</w:t>
            </w:r>
          </w:p>
        </w:tc>
        <w:tc>
          <w:tcPr>
            <w:tcW w:w="420" w:type="dxa"/>
            <w:vAlign w:val="bottom"/>
            <w:gridSpan w:val="2"/>
            <w:shd w:val="clear" w:color="auto" w:fill="CCEEFF"/>
          </w:tcPr>
          <w:p>
            <w:pPr>
              <w:jc w:val="right"/>
              <w:ind w:right="15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3,138.5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2,437.2</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14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w:t>
      </w:r>
    </w:p>
    <w:p>
      <w:pPr>
        <w:spacing w:after="0" w:line="16" w:lineRule="exact"/>
        <w:rPr>
          <w:sz w:val="20"/>
          <w:szCs w:val="20"/>
          <w:color w:val="auto"/>
        </w:rPr>
      </w:pPr>
    </w:p>
    <w:p>
      <w:pPr>
        <w:ind w:left="400" w:right="140" w:hanging="394"/>
        <w:spacing w:after="0" w:line="242" w:lineRule="auto"/>
        <w:tabs>
          <w:tab w:leader="none" w:pos="3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Consolidated Statements of Operations.</w:t>
      </w:r>
    </w:p>
    <w:p>
      <w:pPr>
        <w:ind w:left="400"/>
        <w:spacing w:after="0"/>
        <w:rPr>
          <w:rFonts w:ascii="Arial" w:cs="Arial" w:eastAsia="Arial" w:hAnsi="Arial"/>
          <w:sz w:val="16"/>
          <w:szCs w:val="16"/>
          <w:color w:val="auto"/>
        </w:rPr>
      </w:pPr>
      <w:r>
        <w:rPr>
          <w:rFonts w:ascii="Arial" w:cs="Arial" w:eastAsia="Arial" w:hAnsi="Arial"/>
          <w:sz w:val="18"/>
          <w:szCs w:val="18"/>
          <w:color w:val="auto"/>
        </w:rPr>
        <w:t>NR3 was within the range of 100% and 110% as of January 31, 2021, and within the range of 110% and 120% as of January 31, 2020.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Analysis</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generate a significant amount of our revenue in the United States, Japan, Germany, Finland, and the United Kingdom.</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1"/>
              </w:rPr>
              <w:t>Fiscal Year Ended January 31, 2021</w:t>
            </w:r>
          </w:p>
        </w:tc>
        <w:tc>
          <w:tcPr>
            <w:tcW w:w="1880" w:type="dxa"/>
            <w:vAlign w:val="bottom"/>
            <w:tcBorders>
              <w:bottom w:val="single" w:sz="8" w:color="auto"/>
            </w:tcBorders>
          </w:tcPr>
          <w:p>
            <w:pPr>
              <w:spacing w:after="0"/>
              <w:rPr>
                <w:sz w:val="16"/>
                <w:szCs w:val="16"/>
                <w:color w:val="auto"/>
              </w:rPr>
            </w:pPr>
          </w:p>
        </w:tc>
      </w:tr>
      <w:tr>
        <w:trPr>
          <w:trHeight w:val="130"/>
        </w:trPr>
        <w:tc>
          <w:tcPr>
            <w:tcW w:w="4840" w:type="dxa"/>
            <w:vAlign w:val="bottom"/>
          </w:tcPr>
          <w:p>
            <w:pPr>
              <w:spacing w:after="0"/>
              <w:rPr>
                <w:sz w:val="11"/>
                <w:szCs w:val="11"/>
                <w:color w:val="auto"/>
              </w:rPr>
            </w:pPr>
          </w:p>
        </w:tc>
        <w:tc>
          <w:tcPr>
            <w:tcW w:w="1960" w:type="dxa"/>
            <w:vAlign w:val="bottom"/>
          </w:tcPr>
          <w:p>
            <w:pPr>
              <w:jc w:val="right"/>
              <w:ind w:right="406"/>
              <w:spacing w:after="0" w:line="131"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1"/>
                <w:szCs w:val="11"/>
                <w:color w:val="auto"/>
              </w:rPr>
            </w:pPr>
          </w:p>
        </w:tc>
        <w:tc>
          <w:tcPr>
            <w:tcW w:w="2360" w:type="dxa"/>
            <w:vAlign w:val="bottom"/>
            <w:gridSpan w:val="3"/>
          </w:tcPr>
          <w:p>
            <w:pPr>
              <w:ind w:left="560"/>
              <w:spacing w:after="0" w:line="131" w:lineRule="exact"/>
              <w:rPr>
                <w:sz w:val="20"/>
                <w:szCs w:val="20"/>
                <w:color w:val="auto"/>
              </w:rPr>
            </w:pPr>
            <w:r>
              <w:rPr>
                <w:rFonts w:ascii="Arial" w:cs="Arial" w:eastAsia="Arial" w:hAnsi="Arial"/>
                <w:sz w:val="14"/>
                <w:szCs w:val="14"/>
                <w:b w:val="1"/>
                <w:bCs w:val="1"/>
                <w:color w:val="auto"/>
                <w:w w:val="99"/>
              </w:rPr>
              <w:t>Constant currency percent</w:t>
            </w:r>
          </w:p>
        </w:tc>
        <w:tc>
          <w:tcPr>
            <w:tcW w:w="1880" w:type="dxa"/>
            <w:vAlign w:val="bottom"/>
          </w:tcPr>
          <w:p>
            <w:pPr>
              <w:jc w:val="center"/>
              <w:ind w:left="286"/>
              <w:spacing w:after="0" w:line="131" w:lineRule="exact"/>
              <w:rPr>
                <w:sz w:val="20"/>
                <w:szCs w:val="20"/>
                <w:color w:val="auto"/>
              </w:rPr>
            </w:pPr>
            <w:r>
              <w:rPr>
                <w:rFonts w:ascii="Arial" w:cs="Arial" w:eastAsia="Arial" w:hAnsi="Arial"/>
                <w:sz w:val="14"/>
                <w:szCs w:val="14"/>
                <w:b w:val="1"/>
                <w:bCs w:val="1"/>
                <w:color w:val="auto"/>
                <w:w w:val="89"/>
              </w:rPr>
              <w:t>Positive/negative/neutral</w:t>
            </w:r>
          </w:p>
        </w:tc>
      </w:tr>
      <w:tr>
        <w:trPr>
          <w:trHeight w:val="132"/>
        </w:trPr>
        <w:tc>
          <w:tcPr>
            <w:tcW w:w="4840" w:type="dxa"/>
            <w:vAlign w:val="bottom"/>
          </w:tcPr>
          <w:p>
            <w:pPr>
              <w:spacing w:after="0"/>
              <w:rPr>
                <w:sz w:val="11"/>
                <w:szCs w:val="11"/>
                <w:color w:val="auto"/>
              </w:rPr>
            </w:pPr>
          </w:p>
        </w:tc>
        <w:tc>
          <w:tcPr>
            <w:tcW w:w="1960" w:type="dxa"/>
            <w:vAlign w:val="bottom"/>
          </w:tcPr>
          <w:p>
            <w:pPr>
              <w:jc w:val="right"/>
              <w:ind w:right="226"/>
              <w:spacing w:after="0" w:line="132" w:lineRule="exact"/>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1"/>
                <w:szCs w:val="11"/>
                <w:color w:val="auto"/>
              </w:rPr>
            </w:pPr>
          </w:p>
        </w:tc>
        <w:tc>
          <w:tcPr>
            <w:tcW w:w="1920" w:type="dxa"/>
            <w:vAlign w:val="bottom"/>
          </w:tcPr>
          <w:p>
            <w:pPr>
              <w:ind w:left="560"/>
              <w:spacing w:after="0" w:line="132" w:lineRule="exact"/>
              <w:rPr>
                <w:sz w:val="20"/>
                <w:szCs w:val="20"/>
                <w:color w:val="auto"/>
              </w:rPr>
            </w:pPr>
            <w:r>
              <w:rPr>
                <w:rFonts w:ascii="Arial" w:cs="Arial" w:eastAsia="Arial" w:hAnsi="Arial"/>
                <w:sz w:val="14"/>
                <w:szCs w:val="14"/>
                <w:b w:val="1"/>
                <w:bCs w:val="1"/>
                <w:color w:val="auto"/>
                <w:w w:val="97"/>
              </w:rPr>
              <w:t>change compared to</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impact from foreign exchange</w:t>
            </w:r>
          </w:p>
        </w:tc>
      </w:tr>
      <w:tr>
        <w:trPr>
          <w:trHeight w:val="184"/>
        </w:trPr>
        <w:tc>
          <w:tcPr>
            <w:tcW w:w="484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prior fiscal year (as reported)</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CCEEFF"/>
            </w:tcBorders>
          </w:tcPr>
          <w:p>
            <w:pPr>
              <w:ind w:left="580"/>
              <w:spacing w:after="0"/>
              <w:rPr>
                <w:sz w:val="20"/>
                <w:szCs w:val="20"/>
                <w:color w:val="auto"/>
              </w:rPr>
            </w:pPr>
            <w:r>
              <w:rPr>
                <w:rFonts w:ascii="Arial" w:cs="Arial" w:eastAsia="Arial" w:hAnsi="Arial"/>
                <w:sz w:val="14"/>
                <w:szCs w:val="14"/>
                <w:b w:val="1"/>
                <w:bCs w:val="1"/>
                <w:color w:val="auto"/>
              </w:rPr>
              <w:t>prior fiscal year (1)</w:t>
            </w:r>
          </w:p>
        </w:tc>
        <w:tc>
          <w:tcPr>
            <w:tcW w:w="4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rate changes</w:t>
            </w:r>
          </w:p>
        </w:tc>
      </w:tr>
      <w:tr>
        <w:trPr>
          <w:trHeight w:val="205"/>
        </w:trPr>
        <w:tc>
          <w:tcPr>
            <w:tcW w:w="4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revenue</w:t>
            </w:r>
          </w:p>
        </w:tc>
        <w:tc>
          <w:tcPr>
            <w:tcW w:w="1960" w:type="dxa"/>
            <w:vAlign w:val="bottom"/>
            <w:shd w:val="clear" w:color="auto" w:fill="CCEEFF"/>
          </w:tcPr>
          <w:p>
            <w:pPr>
              <w:jc w:val="right"/>
              <w:ind w:right="366"/>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92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17</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286"/>
              <w:spacing w:after="0"/>
              <w:rPr>
                <w:sz w:val="20"/>
                <w:szCs w:val="20"/>
                <w:color w:val="auto"/>
              </w:rPr>
            </w:pPr>
            <w:r>
              <w:rPr>
                <w:rFonts w:ascii="Arial" w:cs="Arial" w:eastAsia="Arial" w:hAnsi="Arial"/>
                <w:sz w:val="16"/>
                <w:szCs w:val="16"/>
                <w:color w:val="auto"/>
                <w:w w:val="88"/>
              </w:rPr>
              <w:t>Negative</w:t>
            </w:r>
          </w:p>
        </w:tc>
      </w:tr>
      <w:tr>
        <w:trPr>
          <w:trHeight w:val="204"/>
        </w:trPr>
        <w:tc>
          <w:tcPr>
            <w:tcW w:w="4840" w:type="dxa"/>
            <w:vAlign w:val="bottom"/>
          </w:tcPr>
          <w:p>
            <w:pPr>
              <w:ind w:left="420"/>
              <w:spacing w:after="0"/>
              <w:rPr>
                <w:sz w:val="20"/>
                <w:szCs w:val="20"/>
                <w:color w:val="auto"/>
              </w:rPr>
            </w:pPr>
            <w:r>
              <w:rPr>
                <w:rFonts w:ascii="Arial" w:cs="Arial" w:eastAsia="Arial" w:hAnsi="Arial"/>
                <w:sz w:val="16"/>
                <w:szCs w:val="16"/>
                <w:color w:val="auto"/>
              </w:rPr>
              <w:t>Total spend</w:t>
            </w:r>
          </w:p>
        </w:tc>
        <w:tc>
          <w:tcPr>
            <w:tcW w:w="1960" w:type="dxa"/>
            <w:vAlign w:val="bottom"/>
          </w:tcPr>
          <w:p>
            <w:pPr>
              <w:jc w:val="right"/>
              <w:ind w:right="366"/>
              <w:spacing w:after="0"/>
              <w:rPr>
                <w:sz w:val="20"/>
                <w:szCs w:val="20"/>
                <w:color w:val="auto"/>
              </w:rPr>
            </w:pPr>
            <w:r>
              <w:rPr>
                <w:rFonts w:ascii="Arial" w:cs="Arial" w:eastAsia="Arial" w:hAnsi="Arial"/>
                <w:sz w:val="16"/>
                <w:szCs w:val="16"/>
                <w:color w:val="auto"/>
              </w:rPr>
              <w:t>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920" w:type="dxa"/>
            <w:vAlign w:val="bottom"/>
          </w:tcPr>
          <w:p>
            <w:pPr>
              <w:jc w:val="right"/>
              <w:ind w:right="227"/>
              <w:spacing w:after="0"/>
              <w:rPr>
                <w:sz w:val="20"/>
                <w:szCs w:val="20"/>
                <w:color w:val="auto"/>
              </w:rPr>
            </w:pPr>
            <w:r>
              <w:rPr>
                <w:rFonts w:ascii="Arial" w:cs="Arial" w:eastAsia="Arial" w:hAnsi="Arial"/>
                <w:sz w:val="16"/>
                <w:szCs w:val="16"/>
                <w:color w:val="auto"/>
              </w:rPr>
              <w:t>8</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80" w:type="dxa"/>
            <w:vAlign w:val="bottom"/>
          </w:tcPr>
          <w:p>
            <w:pPr>
              <w:jc w:val="center"/>
              <w:ind w:left="286"/>
              <w:spacing w:after="0"/>
              <w:rPr>
                <w:sz w:val="20"/>
                <w:szCs w:val="20"/>
                <w:color w:val="auto"/>
              </w:rPr>
            </w:pPr>
            <w:r>
              <w:rPr>
                <w:rFonts w:ascii="Arial" w:cs="Arial" w:eastAsia="Arial" w:hAnsi="Arial"/>
                <w:sz w:val="16"/>
                <w:szCs w:val="16"/>
                <w:color w:val="auto"/>
                <w:w w:val="92"/>
              </w:rPr>
              <w:t>Neutral</w:t>
            </w: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w:t>
      </w:r>
    </w:p>
    <w:p>
      <w:pPr>
        <w:spacing w:after="0" w:line="16" w:lineRule="exact"/>
        <w:rPr>
          <w:sz w:val="20"/>
          <w:szCs w:val="20"/>
          <w:color w:val="auto"/>
        </w:rPr>
      </w:pPr>
    </w:p>
    <w:p>
      <w:pPr>
        <w:ind w:left="400" w:hanging="394"/>
        <w:spacing w:after="0"/>
        <w:tabs>
          <w:tab w:leader="none" w:pos="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Please refer to the “Glossary of Terms” in Part I, Item 1 Business for the definitions of our constant currency growth rates.</w:t>
      </w:r>
    </w:p>
    <w:p>
      <w:pPr>
        <w:spacing w:after="0" w:line="226" w:lineRule="exact"/>
        <w:rPr>
          <w:sz w:val="20"/>
          <w:szCs w:val="20"/>
          <w:color w:val="auto"/>
        </w:rPr>
      </w:pPr>
    </w:p>
    <w:p>
      <w:pPr>
        <w:ind w:right="180" w:firstLine="396"/>
        <w:spacing w:after="0" w:line="253"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Remaining Performance Obligations</w:t>
      </w:r>
    </w:p>
    <w:p>
      <w:pPr>
        <w:spacing w:after="0" w:line="241"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Consolidated Balance Sheets. See Part II, Item 8, Note 2, “Revenue Recognition” for more details on Autodesk's performance obligations.</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7880" w:type="dxa"/>
            <w:vAlign w:val="bottom"/>
          </w:tcPr>
          <w:p>
            <w:pPr>
              <w:ind w:left="54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480"/>
              <w:spacing w:after="0"/>
              <w:rPr>
                <w:sz w:val="20"/>
                <w:szCs w:val="20"/>
                <w:color w:val="auto"/>
              </w:rPr>
            </w:pPr>
            <w:r>
              <w:rPr>
                <w:rFonts w:ascii="Arial" w:cs="Arial" w:eastAsia="Arial" w:hAnsi="Arial"/>
                <w:sz w:val="14"/>
                <w:szCs w:val="14"/>
                <w:b w:val="1"/>
                <w:bCs w:val="1"/>
                <w:color w:val="auto"/>
              </w:rPr>
              <w:t>January 31, 2021</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January 31, 20</w:t>
            </w:r>
          </w:p>
        </w:tc>
      </w:tr>
      <w:tr>
        <w:trPr>
          <w:trHeight w:val="210"/>
        </w:trPr>
        <w:tc>
          <w:tcPr>
            <w:tcW w:w="78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7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8"/>
        </w:trPr>
        <w:tc>
          <w:tcPr>
            <w:tcW w:w="78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Unbilled deferred revenue</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3"/>
        </w:trPr>
        <w:tc>
          <w:tcPr>
            <w:tcW w:w="7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RPO</w:t>
            </w:r>
          </w:p>
        </w:tc>
        <w:tc>
          <w:tcPr>
            <w:tcW w:w="7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RPO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ind w:left="1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2021</w:t>
            </w:r>
          </w:p>
        </w:tc>
        <w:tc>
          <w:tcPr>
            <w:tcW w:w="14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January 31, 2020</w:t>
            </w:r>
          </w:p>
        </w:tc>
      </w:tr>
      <w:tr>
        <w:trPr>
          <w:trHeight w:val="210"/>
        </w:trPr>
        <w:tc>
          <w:tcPr>
            <w:tcW w:w="8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RPO</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2,368.6</w:t>
            </w:r>
          </w:p>
        </w:tc>
      </w:tr>
      <w:tr>
        <w:trPr>
          <w:trHeight w:val="208"/>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RPO</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r>
      <w:tr>
        <w:trPr>
          <w:trHeight w:val="233"/>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RPO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00" w:firstLine="396"/>
        <w:spacing w:after="0" w:line="250"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 Historically, we have had increased EBAs sale activity in our fourth fiscal quarter and this seasonality may effect the relative value of our fourth quarter billings and RPO.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Balance Sheet and Cash Flow Items</w:t>
      </w:r>
    </w:p>
    <w:p>
      <w:pPr>
        <w:spacing w:after="0" w:line="241" w:lineRule="exact"/>
        <w:rPr>
          <w:sz w:val="20"/>
          <w:szCs w:val="20"/>
          <w:color w:val="auto"/>
        </w:rPr>
      </w:pPr>
    </w:p>
    <w:p>
      <w:pPr>
        <w:ind w:right="200" w:firstLine="396"/>
        <w:spacing w:after="0" w:line="292" w:lineRule="auto"/>
        <w:rPr>
          <w:sz w:val="20"/>
          <w:szCs w:val="20"/>
          <w:color w:val="auto"/>
        </w:rPr>
      </w:pPr>
      <w:r>
        <w:rPr>
          <w:rFonts w:ascii="Arial" w:cs="Arial" w:eastAsia="Arial" w:hAnsi="Arial"/>
          <w:sz w:val="16"/>
          <w:szCs w:val="16"/>
          <w:color w:val="auto"/>
        </w:rPr>
        <w:t>At January 31, 2021, we had $1,857.2 million in cash and marketable securities. Our cash flow from operations increased to $1,437.2 million for the fiscal year ended January 31, 2021, from $1,415.1 million for the fiscal year ended January 31, 2020. We repurchased 2.6 million shares of our common stock for $549.4 million during fiscal 2021. Comparatively, we repurchased 2.7 million shares of our common stock for $455.5 million during fiscal 2020.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Impacts of COVID-19 to Autodesk’s Business</w:t>
      </w:r>
    </w:p>
    <w:p>
      <w:pPr>
        <w:spacing w:after="0" w:line="241" w:lineRule="exact"/>
        <w:rPr>
          <w:sz w:val="20"/>
          <w:szCs w:val="20"/>
          <w:color w:val="auto"/>
        </w:rPr>
      </w:pPr>
    </w:p>
    <w:p>
      <w:pPr>
        <w:ind w:right="60" w:firstLine="396"/>
        <w:spacing w:after="0" w:line="287" w:lineRule="auto"/>
        <w:rPr>
          <w:sz w:val="20"/>
          <w:szCs w:val="20"/>
          <w:color w:val="auto"/>
        </w:rPr>
      </w:pPr>
      <w:r>
        <w:rPr>
          <w:rFonts w:ascii="Arial" w:cs="Arial" w:eastAsia="Arial" w:hAnsi="Arial"/>
          <w:sz w:val="16"/>
          <w:szCs w:val="16"/>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continuing to take precautionary measures to address COVID-19, and they may take further actions that alter their normal business operations. We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192" w:lineRule="exact"/>
        <w:rPr>
          <w:sz w:val="20"/>
          <w:szCs w:val="20"/>
          <w:color w:val="auto"/>
        </w:rPr>
      </w:pPr>
    </w:p>
    <w:p>
      <w:pPr>
        <w:ind w:right="140" w:firstLine="396"/>
        <w:spacing w:after="0" w:line="235" w:lineRule="auto"/>
        <w:rPr>
          <w:sz w:val="20"/>
          <w:szCs w:val="20"/>
          <w:color w:val="auto"/>
        </w:rPr>
      </w:pPr>
      <w:r>
        <w:rPr>
          <w:rFonts w:ascii="Arial" w:cs="Arial" w:eastAsia="Arial" w:hAnsi="Arial"/>
          <w:sz w:val="18"/>
          <w:szCs w:val="18"/>
          <w:color w:val="auto"/>
        </w:rPr>
        <w:t>In the fiscal quarter ended January 31, 2021, we experienced usage levels above pre-COVID-19 levels in most of Asia Pacific and Continental Europe. Usage rates in the United States and the United Kingdom remain below pre-COVID-19 levels. Contributing to our revenue growth in the fourth fiscal quarter ended January 31, 2021, was record EBAs, strong subscription renewal rates, accelerating digital sales, and continued sequential growth in new business. In our target markets, both Architecture, Engineering, and Construction (“AEC”) and Manufacturing (“MFG”) experienced growth as compared to the fourth fiscal quarter in the prior year.</w:t>
      </w:r>
    </w:p>
    <w:p>
      <w:pPr>
        <w:spacing w:after="0" w:line="213" w:lineRule="exact"/>
        <w:rPr>
          <w:sz w:val="20"/>
          <w:szCs w:val="20"/>
          <w:color w:val="auto"/>
        </w:rPr>
      </w:pPr>
    </w:p>
    <w:p>
      <w:pPr>
        <w:jc w:val="both"/>
        <w:ind w:right="180" w:firstLine="396"/>
        <w:spacing w:after="0" w:line="250" w:lineRule="auto"/>
        <w:rPr>
          <w:sz w:val="20"/>
          <w:szCs w:val="20"/>
          <w:color w:val="auto"/>
        </w:rPr>
      </w:pPr>
      <w:r>
        <w:rPr>
          <w:rFonts w:ascii="Arial" w:cs="Arial" w:eastAsia="Arial" w:hAnsi="Arial"/>
          <w:sz w:val="18"/>
          <w:szCs w:val="18"/>
          <w:color w:val="auto"/>
        </w:rPr>
        <w:t>We also took action to support our customers during the fiscal year ended January 31, 2021, and extended payment terms to 60 days through August 7, 2020, offering free commercial use of our cloud collaboration products through June 2020, and delayed the transition from multi-user licenses to named-user licenses from May 2020 to August 2020 to minimize customer disruption. Further, we deferred a 20% maintenance price increase from May 2020 to August 2020 to give customers additional time to consider a subscription agreement.</w:t>
      </w:r>
    </w:p>
    <w:p>
      <w:pPr>
        <w:spacing w:after="0" w:line="219" w:lineRule="exact"/>
        <w:rPr>
          <w:sz w:val="20"/>
          <w:szCs w:val="20"/>
          <w:color w:val="auto"/>
        </w:rPr>
      </w:pPr>
    </w:p>
    <w:p>
      <w:pPr>
        <w:ind w:right="180" w:firstLine="396"/>
        <w:spacing w:after="0" w:line="253" w:lineRule="auto"/>
        <w:rPr>
          <w:sz w:val="20"/>
          <w:szCs w:val="20"/>
          <w:color w:val="auto"/>
        </w:rPr>
      </w:pPr>
      <w:r>
        <w:rPr>
          <w:rFonts w:ascii="Arial" w:cs="Arial" w:eastAsia="Arial" w:hAnsi="Arial"/>
          <w:sz w:val="18"/>
          <w:szCs w:val="18"/>
          <w:color w:val="auto"/>
        </w:rPr>
        <w:t>Given the evolving business environment as a result of COVID-19, we are actively managing our spending, reducing travel and entertainment expense, monitoring our hiring rate, and rationalizing our marketing spend. We will continue to invest in critical areas such as R&amp;D, construction, and digitizing the company to ensure our future success as we come out of the pandemic.</w:t>
      </w:r>
    </w:p>
    <w:p>
      <w:pPr>
        <w:spacing w:after="0" w:line="216" w:lineRule="exact"/>
        <w:rPr>
          <w:sz w:val="20"/>
          <w:szCs w:val="20"/>
          <w:color w:val="auto"/>
        </w:rPr>
      </w:pPr>
    </w:p>
    <w:p>
      <w:pPr>
        <w:ind w:firstLine="396"/>
        <w:spacing w:after="0" w:line="247" w:lineRule="auto"/>
        <w:rPr>
          <w:sz w:val="20"/>
          <w:szCs w:val="20"/>
          <w:color w:val="auto"/>
        </w:rPr>
      </w:pPr>
      <w:r>
        <w:rPr>
          <w:rFonts w:ascii="Arial" w:cs="Arial" w:eastAsia="Arial" w:hAnsi="Arial"/>
          <w:sz w:val="18"/>
          <w:szCs w:val="18"/>
          <w:color w:val="auto"/>
        </w:rPr>
        <w:t>We believe our investment in cloud products and a subscription business model, backed by a strong balance sheet, give us a robust foundation to successfully navigate the economic challenges of COVID-19. The extent of the impact on our business in fiscal 2022 and beyond will depend on several factors, including the full duration and the extent of the pandemic; actions taken by governments, businesses, and consumers in response to the pandemic; speed and timing of economic recovery;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Further discussion of the potential impacts of COVID-19 on our business can be found in Part I, Item 1A,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Income Statement Presentation</w:t>
      </w:r>
    </w:p>
    <w:p>
      <w:pPr>
        <w:spacing w:after="0" w:line="241" w:lineRule="exact"/>
        <w:rPr>
          <w:sz w:val="20"/>
          <w:szCs w:val="20"/>
          <w:color w:val="auto"/>
        </w:rPr>
      </w:pPr>
    </w:p>
    <w:p>
      <w:pPr>
        <w:ind w:right="160" w:firstLine="396"/>
        <w:spacing w:after="0" w:line="253" w:lineRule="auto"/>
        <w:rPr>
          <w:sz w:val="20"/>
          <w:szCs w:val="20"/>
          <w:color w:val="auto"/>
        </w:rPr>
      </w:pPr>
      <w:r>
        <w:rPr>
          <w:rFonts w:ascii="Arial" w:cs="Arial" w:eastAsia="Arial" w:hAnsi="Arial"/>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16" w:lineRule="exact"/>
        <w:rPr>
          <w:sz w:val="20"/>
          <w:szCs w:val="20"/>
          <w:color w:val="auto"/>
        </w:rPr>
      </w:pPr>
    </w:p>
    <w:p>
      <w:pPr>
        <w:jc w:val="both"/>
        <w:ind w:right="140" w:firstLine="435"/>
        <w:spacing w:after="0" w:line="25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1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Other revenue consists of revenue from consulting, training, and other products and services, and is recognized as the products are delivered and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8"/>
          </w:tcPr>
          <w:p>
            <w:pPr>
              <w:ind w:left="80"/>
              <w:spacing w:after="0"/>
              <w:rPr>
                <w:sz w:val="20"/>
                <w:szCs w:val="20"/>
                <w:color w:val="auto"/>
              </w:rPr>
            </w:pPr>
            <w:r>
              <w:rPr>
                <w:rFonts w:ascii="Arial" w:cs="Arial" w:eastAsia="Arial" w:hAnsi="Arial"/>
                <w:sz w:val="14"/>
                <w:szCs w:val="14"/>
                <w:b w:val="1"/>
                <w:bCs w:val="1"/>
                <w:color w:val="auto"/>
              </w:rPr>
              <w:t>Change compared to</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ind w:left="240"/>
              <w:spacing w:after="0" w:line="132" w:lineRule="exact"/>
              <w:rPr>
                <w:sz w:val="20"/>
                <w:szCs w:val="20"/>
                <w:color w:val="auto"/>
              </w:rPr>
            </w:pPr>
            <w:r>
              <w:rPr>
                <w:rFonts w:ascii="Arial" w:cs="Arial" w:eastAsia="Arial" w:hAnsi="Arial"/>
                <w:sz w:val="14"/>
                <w:szCs w:val="14"/>
                <w:b w:val="1"/>
                <w:bCs w:val="1"/>
                <w:color w:val="auto"/>
                <w:w w:val="99"/>
              </w:rPr>
              <w:t>prior fiscal year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80"/>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center"/>
              <w:ind w:right="85"/>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960" w:type="dxa"/>
            <w:vAlign w:val="bottom"/>
            <w:gridSpan w:val="4"/>
          </w:tcPr>
          <w:p>
            <w:pPr>
              <w:jc w:val="center"/>
              <w:ind w:right="100"/>
              <w:spacing w:after="0" w:line="132" w:lineRule="exact"/>
              <w:rPr>
                <w:sz w:val="20"/>
                <w:szCs w:val="20"/>
                <w:color w:val="auto"/>
              </w:rPr>
            </w:pPr>
            <w:r>
              <w:rPr>
                <w:rFonts w:ascii="Arial" w:cs="Arial" w:eastAsia="Arial" w:hAnsi="Arial"/>
                <w:sz w:val="14"/>
                <w:szCs w:val="14"/>
                <w:b w:val="1"/>
                <w:bCs w:val="1"/>
                <w:color w:val="auto"/>
                <w:w w:val="90"/>
              </w:rPr>
              <w:t>January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1"/>
                <w:szCs w:val="11"/>
                <w:color w:val="auto"/>
              </w:rPr>
            </w:pPr>
          </w:p>
        </w:tc>
        <w:tc>
          <w:tcPr>
            <w:tcW w:w="30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340"/>
              <w:spacing w:after="0" w:line="161" w:lineRule="exact"/>
              <w:rPr>
                <w:sz w:val="20"/>
                <w:szCs w:val="20"/>
                <w:color w:val="auto"/>
              </w:rPr>
            </w:pPr>
            <w:r>
              <w:rPr>
                <w:rFonts w:ascii="Arial" w:cs="Arial" w:eastAsia="Arial" w:hAnsi="Arial"/>
                <w:sz w:val="16"/>
                <w:szCs w:val="16"/>
                <w:color w:val="auto"/>
              </w:rPr>
              <w:t>Subscription</w:t>
            </w:r>
          </w:p>
        </w:tc>
        <w:tc>
          <w:tcPr>
            <w:tcW w:w="180" w:type="dxa"/>
            <w:vAlign w:val="bottom"/>
            <w:gridSpan w:val="2"/>
          </w:tcPr>
          <w:p>
            <w:pPr>
              <w:jc w:val="right"/>
              <w:ind w:right="30"/>
              <w:spacing w:after="0" w:line="161"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3,478.9</w:t>
            </w:r>
          </w:p>
        </w:tc>
        <w:tc>
          <w:tcPr>
            <w:tcW w:w="100" w:type="dxa"/>
            <w:vAlign w:val="bottom"/>
          </w:tcPr>
          <w:p>
            <w:pPr>
              <w:spacing w:after="0"/>
              <w:rPr>
                <w:sz w:val="14"/>
                <w:szCs w:val="14"/>
                <w:color w:val="auto"/>
              </w:rPr>
            </w:pPr>
          </w:p>
        </w:tc>
        <w:tc>
          <w:tcPr>
            <w:tcW w:w="260" w:type="dxa"/>
            <w:vAlign w:val="bottom"/>
            <w:gridSpan w:val="2"/>
          </w:tcPr>
          <w:p>
            <w:pPr>
              <w:jc w:val="right"/>
              <w:ind w:right="160"/>
              <w:spacing w:after="0" w:line="161" w:lineRule="exact"/>
              <w:rPr>
                <w:sz w:val="20"/>
                <w:szCs w:val="20"/>
                <w:color w:val="auto"/>
              </w:rPr>
            </w:pPr>
            <w:r>
              <w:rPr>
                <w:rFonts w:ascii="Arial" w:cs="Arial" w:eastAsia="Arial" w:hAnsi="Arial"/>
                <w:sz w:val="16"/>
                <w:szCs w:val="16"/>
                <w:color w:val="auto"/>
                <w:w w:val="89"/>
              </w:rPr>
              <w:t>$</w:t>
            </w:r>
          </w:p>
        </w:tc>
        <w:tc>
          <w:tcPr>
            <w:tcW w:w="640" w:type="dxa"/>
            <w:vAlign w:val="bottom"/>
          </w:tcPr>
          <w:p>
            <w:pPr>
              <w:ind w:left="220"/>
              <w:spacing w:after="0" w:line="161" w:lineRule="exact"/>
              <w:rPr>
                <w:sz w:val="20"/>
                <w:szCs w:val="20"/>
                <w:color w:val="auto"/>
              </w:rPr>
            </w:pPr>
            <w:r>
              <w:rPr>
                <w:rFonts w:ascii="Arial" w:cs="Arial" w:eastAsia="Arial" w:hAnsi="Arial"/>
                <w:sz w:val="16"/>
                <w:szCs w:val="16"/>
                <w:color w:val="auto"/>
                <w:w w:val="99"/>
              </w:rPr>
              <w:t>727.0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6"/>
                <w:szCs w:val="16"/>
                <w:color w:val="auto"/>
                <w:w w:val="93"/>
              </w:rPr>
              <w:t>26 %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3840" w:type="dxa"/>
            <w:vAlign w:val="bottom"/>
            <w:gridSpan w:val="3"/>
          </w:tcPr>
          <w:p>
            <w:pPr>
              <w:ind w:left="140"/>
              <w:spacing w:after="0" w:line="161" w:lineRule="exact"/>
              <w:rPr>
                <w:sz w:val="20"/>
                <w:szCs w:val="20"/>
                <w:color w:val="auto"/>
              </w:rPr>
            </w:pPr>
            <w:r>
              <w:rPr>
                <w:rFonts w:ascii="Arial" w:cs="Arial" w:eastAsia="Arial" w:hAnsi="Arial"/>
                <w:sz w:val="16"/>
                <w:szCs w:val="16"/>
                <w:color w:val="auto"/>
                <w:w w:val="94"/>
              </w:rPr>
              <w:t>2,751.9   Increase due to growth across all subscription</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rPr>
              <w:t>types, led by product subscription renewal</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4"/>
              </w:rPr>
              <w:t>revenue, which benefited from the success of</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rPr>
              <w:t>the M2S program. Also contributing to the</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5"/>
              </w:rPr>
              <w:t>growth was an increase in revenue from new</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6"/>
                <w:szCs w:val="16"/>
                <w:color w:val="auto"/>
              </w:rPr>
              <w:t>product subscriptions and EBA offerings.</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Maintenance (1)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183.3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(203.3)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line="165" w:lineRule="exact"/>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40" w:type="dxa"/>
            <w:vAlign w:val="bottom"/>
            <w:gridSpan w:val="3"/>
            <w:shd w:val="clear" w:color="auto" w:fill="CCEEFF"/>
          </w:tcPr>
          <w:p>
            <w:pPr>
              <w:ind w:left="260"/>
              <w:spacing w:after="0" w:line="165" w:lineRule="exact"/>
              <w:rPr>
                <w:sz w:val="20"/>
                <w:szCs w:val="20"/>
                <w:color w:val="auto"/>
              </w:rPr>
            </w:pPr>
            <w:r>
              <w:rPr>
                <w:rFonts w:ascii="Arial" w:cs="Arial" w:eastAsia="Arial" w:hAnsi="Arial"/>
                <w:sz w:val="16"/>
                <w:szCs w:val="16"/>
                <w:color w:val="auto"/>
              </w:rPr>
              <w:t>386.6   Decrease primarily due to the migration of</w:t>
            </w: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maintenance plan subscriptions to subscription</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01"/>
        </w:trPr>
        <w:tc>
          <w:tcPr>
            <w:tcW w:w="4200" w:type="dxa"/>
            <w:vAlign w:val="bottom"/>
          </w:tcPr>
          <w:p>
            <w:pPr>
              <w:ind w:left="480"/>
              <w:spacing w:after="0"/>
              <w:rPr>
                <w:sz w:val="20"/>
                <w:szCs w:val="20"/>
                <w:color w:val="auto"/>
              </w:rPr>
            </w:pPr>
            <w:r>
              <w:rPr>
                <w:rFonts w:ascii="Arial" w:cs="Arial" w:eastAsia="Arial" w:hAnsi="Arial"/>
                <w:sz w:val="16"/>
                <w:szCs w:val="16"/>
                <w:color w:val="auto"/>
              </w:rPr>
              <w:t>Total subscription and maintenance 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6"/>
                <w:szCs w:val="16"/>
                <w:color w:val="auto"/>
                <w:w w:val="99"/>
              </w:rPr>
              <w:t>523.7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17 %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3,138.5</w:t>
            </w: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3,790.4</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9"/>
              </w:rPr>
              <w:t>516.1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3,274.3</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8"/>
          </w:tcPr>
          <w:p>
            <w:pPr>
              <w:ind w:left="180"/>
              <w:spacing w:after="0"/>
              <w:rPr>
                <w:sz w:val="20"/>
                <w:szCs w:val="20"/>
                <w:color w:val="auto"/>
              </w:rPr>
            </w:pPr>
            <w:r>
              <w:rPr>
                <w:rFonts w:ascii="Arial" w:cs="Arial" w:eastAsia="Arial" w:hAnsi="Arial"/>
                <w:sz w:val="14"/>
                <w:szCs w:val="14"/>
                <w:b w:val="1"/>
                <w:bCs w:val="1"/>
                <w:color w:val="auto"/>
              </w:rPr>
              <w:t>Change compared to</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ind w:left="320"/>
              <w:spacing w:after="0" w:line="132" w:lineRule="exact"/>
              <w:rPr>
                <w:sz w:val="20"/>
                <w:szCs w:val="20"/>
                <w:color w:val="auto"/>
              </w:rPr>
            </w:pPr>
            <w:r>
              <w:rPr>
                <w:rFonts w:ascii="Arial" w:cs="Arial" w:eastAsia="Arial" w:hAnsi="Arial"/>
                <w:sz w:val="14"/>
                <w:szCs w:val="14"/>
                <w:b w:val="1"/>
                <w:bCs w:val="1"/>
                <w:color w:val="auto"/>
                <w:w w:val="92"/>
              </w:rPr>
              <w:t>prior fiscal year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100"/>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center"/>
              <w:ind w:right="105"/>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80" w:type="dxa"/>
            <w:vAlign w:val="bottom"/>
          </w:tcPr>
          <w:p>
            <w:pPr>
              <w:spacing w:after="0"/>
              <w:rPr>
                <w:sz w:val="11"/>
                <w:szCs w:val="11"/>
                <w:color w:val="auto"/>
              </w:rPr>
            </w:pPr>
          </w:p>
        </w:tc>
        <w:tc>
          <w:tcPr>
            <w:tcW w:w="88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0"/>
              </w:rPr>
              <w:t>January 31,</w:t>
            </w:r>
          </w:p>
        </w:tc>
        <w:tc>
          <w:tcPr>
            <w:tcW w:w="100" w:type="dxa"/>
            <w:vAlign w:val="bottom"/>
          </w:tcPr>
          <w:p>
            <w:pPr>
              <w:spacing w:after="0"/>
              <w:rPr>
                <w:sz w:val="11"/>
                <w:szCs w:val="11"/>
                <w:color w:val="auto"/>
              </w:rPr>
            </w:pPr>
          </w:p>
        </w:tc>
        <w:tc>
          <w:tcPr>
            <w:tcW w:w="30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12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340"/>
              <w:spacing w:after="0" w:line="161" w:lineRule="exact"/>
              <w:rPr>
                <w:sz w:val="20"/>
                <w:szCs w:val="20"/>
                <w:color w:val="auto"/>
              </w:rPr>
            </w:pPr>
            <w:r>
              <w:rPr>
                <w:rFonts w:ascii="Arial" w:cs="Arial" w:eastAsia="Arial" w:hAnsi="Arial"/>
                <w:sz w:val="16"/>
                <w:szCs w:val="16"/>
                <w:color w:val="auto"/>
              </w:rPr>
              <w:t>Subscription</w:t>
            </w:r>
          </w:p>
        </w:tc>
        <w:tc>
          <w:tcPr>
            <w:tcW w:w="180" w:type="dxa"/>
            <w:vAlign w:val="bottom"/>
            <w:gridSpan w:val="2"/>
          </w:tcPr>
          <w:p>
            <w:pPr>
              <w:jc w:val="right"/>
              <w:spacing w:after="0" w:line="161"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2,751.9</w:t>
            </w:r>
          </w:p>
        </w:tc>
        <w:tc>
          <w:tcPr>
            <w:tcW w:w="2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949.6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4"/>
          </w:tcPr>
          <w:p>
            <w:pPr>
              <w:jc w:val="right"/>
              <w:ind w:right="7"/>
              <w:spacing w:after="0" w:line="161" w:lineRule="exact"/>
              <w:rPr>
                <w:sz w:val="20"/>
                <w:szCs w:val="20"/>
                <w:color w:val="auto"/>
              </w:rPr>
            </w:pPr>
            <w:r>
              <w:rPr>
                <w:rFonts w:ascii="Arial" w:cs="Arial" w:eastAsia="Arial" w:hAnsi="Arial"/>
                <w:sz w:val="16"/>
                <w:szCs w:val="16"/>
                <w:color w:val="auto"/>
              </w:rPr>
              <w:t>53 % $</w:t>
            </w:r>
          </w:p>
        </w:tc>
        <w:tc>
          <w:tcPr>
            <w:tcW w:w="3840" w:type="dxa"/>
            <w:vAlign w:val="bottom"/>
            <w:gridSpan w:val="3"/>
          </w:tcPr>
          <w:p>
            <w:pPr>
              <w:ind w:left="140"/>
              <w:spacing w:after="0" w:line="161" w:lineRule="exact"/>
              <w:rPr>
                <w:sz w:val="20"/>
                <w:szCs w:val="20"/>
                <w:color w:val="auto"/>
              </w:rPr>
            </w:pPr>
            <w:r>
              <w:rPr>
                <w:rFonts w:ascii="Arial" w:cs="Arial" w:eastAsia="Arial" w:hAnsi="Arial"/>
                <w:sz w:val="16"/>
                <w:szCs w:val="16"/>
                <w:color w:val="auto"/>
                <w:w w:val="94"/>
              </w:rPr>
              <w:t>1,802.3   Increase due to growth across all subscription</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0"/>
              </w:rPr>
              <w:t>plan types, led by renewal product subscription</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4"/>
              </w:rPr>
              <w:t>revenue, which benefited from the success of</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rPr>
              <w:t>the M2S program. Also contributing to the</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rPr>
              <w:t>increase was growth in new product</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6"/>
              </w:rPr>
              <w:t>subscriptions, cloud service offerings (which</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8" w:lineRule="exact"/>
              <w:rPr>
                <w:sz w:val="20"/>
                <w:szCs w:val="20"/>
                <w:color w:val="auto"/>
              </w:rPr>
            </w:pPr>
            <w:r>
              <w:rPr>
                <w:rFonts w:ascii="Arial" w:cs="Arial" w:eastAsia="Arial" w:hAnsi="Arial"/>
                <w:sz w:val="16"/>
                <w:szCs w:val="16"/>
                <w:color w:val="auto"/>
                <w:w w:val="98"/>
              </w:rPr>
              <w:t>benefited from our acquisitions in the fourth</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6"/>
                <w:szCs w:val="16"/>
                <w:color w:val="auto"/>
                <w:w w:val="92"/>
              </w:rPr>
              <w:t>quarter of fiscal year 2019) and EBA offerings.</w:t>
            </w: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Maintenance (1)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386.6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260"/>
              <w:spacing w:after="0" w:line="165" w:lineRule="exact"/>
              <w:rPr>
                <w:sz w:val="20"/>
                <w:szCs w:val="20"/>
                <w:color w:val="auto"/>
              </w:rPr>
            </w:pPr>
            <w:r>
              <w:rPr>
                <w:rFonts w:ascii="Arial" w:cs="Arial" w:eastAsia="Arial" w:hAnsi="Arial"/>
                <w:sz w:val="16"/>
                <w:szCs w:val="16"/>
                <w:color w:val="auto"/>
                <w:w w:val="90"/>
              </w:rPr>
              <w:t>(248.5)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w w:val="98"/>
              </w:rPr>
              <w:t>(39)%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40" w:type="dxa"/>
            <w:vAlign w:val="bottom"/>
            <w:gridSpan w:val="3"/>
            <w:shd w:val="clear" w:color="auto" w:fill="CCEEFF"/>
          </w:tcPr>
          <w:p>
            <w:pPr>
              <w:ind w:left="240"/>
              <w:spacing w:after="0" w:line="165" w:lineRule="exact"/>
              <w:rPr>
                <w:sz w:val="20"/>
                <w:szCs w:val="20"/>
                <w:color w:val="auto"/>
              </w:rPr>
            </w:pPr>
            <w:r>
              <w:rPr>
                <w:rFonts w:ascii="Arial" w:cs="Arial" w:eastAsia="Arial" w:hAnsi="Arial"/>
                <w:sz w:val="16"/>
                <w:szCs w:val="16"/>
                <w:color w:val="auto"/>
              </w:rPr>
              <w:t>635.1   Decrease primarily due to the migration of</w:t>
            </w: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maintenance plan subscriptions to subscription</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01"/>
        </w:trPr>
        <w:tc>
          <w:tcPr>
            <w:tcW w:w="4200" w:type="dxa"/>
            <w:vAlign w:val="bottom"/>
          </w:tcPr>
          <w:p>
            <w:pPr>
              <w:ind w:left="480"/>
              <w:spacing w:after="0"/>
              <w:rPr>
                <w:sz w:val="20"/>
                <w:szCs w:val="20"/>
                <w:color w:val="auto"/>
              </w:rPr>
            </w:pPr>
            <w:r>
              <w:rPr>
                <w:rFonts w:ascii="Arial" w:cs="Arial" w:eastAsia="Arial" w:hAnsi="Arial"/>
                <w:sz w:val="16"/>
                <w:szCs w:val="16"/>
                <w:color w:val="auto"/>
              </w:rPr>
              <w:t>Total subscription and maintenance 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3,138.5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701.1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29 %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2,437.4</w:t>
            </w: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3 %</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3,274.3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4"/>
          </w:tcPr>
          <w:p>
            <w:pPr>
              <w:jc w:val="right"/>
              <w:ind w:right="7"/>
              <w:spacing w:after="0"/>
              <w:rPr>
                <w:sz w:val="20"/>
                <w:szCs w:val="20"/>
                <w:color w:val="auto"/>
              </w:rPr>
            </w:pPr>
            <w:r>
              <w:rPr>
                <w:rFonts w:ascii="Arial" w:cs="Arial" w:eastAsia="Arial" w:hAnsi="Arial"/>
                <w:sz w:val="16"/>
                <w:szCs w:val="16"/>
                <w:color w:val="auto"/>
              </w:rPr>
              <w:t>27 % $</w:t>
            </w: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right="420" w:hanging="394"/>
        <w:spacing w:after="0" w:line="251"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expect maintenance revenue will continue to decline; however, the rate of decline will vary based on the number of renewals, the renewal rate, and our ability to incentivize maintenance plan customers to transition to subscription plan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Product Family</w:t>
      </w:r>
    </w:p>
    <w:p>
      <w:pPr>
        <w:spacing w:after="0" w:line="241" w:lineRule="exact"/>
        <w:rPr>
          <w:sz w:val="20"/>
          <w:szCs w:val="20"/>
          <w:color w:val="auto"/>
        </w:rPr>
      </w:pPr>
    </w:p>
    <w:p>
      <w:pPr>
        <w:ind w:right="140" w:firstLine="396"/>
        <w:spacing w:after="0" w:line="262"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Fiscal Year</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220"/>
              <w:spacing w:after="0" w:line="132"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20" w:type="dxa"/>
            <w:vAlign w:val="bottom"/>
          </w:tcPr>
          <w:p>
            <w:pPr>
              <w:spacing w:after="0"/>
              <w:rPr>
                <w:sz w:val="11"/>
                <w:szCs w:val="11"/>
                <w:color w:val="auto"/>
              </w:rPr>
            </w:pPr>
          </w:p>
        </w:tc>
        <w:tc>
          <w:tcPr>
            <w:tcW w:w="940" w:type="dxa"/>
            <w:vAlign w:val="bottom"/>
            <w:gridSpan w:val="4"/>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January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1"/>
                <w:szCs w:val="11"/>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0"/>
              </w:rPr>
              <w:t>January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3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6"/>
                <w:szCs w:val="16"/>
                <w:color w:val="auto"/>
              </w:rPr>
              <w:t>Net revenue by product family:</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AEC</w:t>
            </w:r>
          </w:p>
        </w:tc>
        <w:tc>
          <w:tcPr>
            <w:tcW w:w="12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line="165" w:lineRule="exact"/>
              <w:rPr>
                <w:sz w:val="20"/>
                <w:szCs w:val="20"/>
                <w:color w:val="auto"/>
              </w:rPr>
            </w:pPr>
            <w:r>
              <w:rPr>
                <w:rFonts w:ascii="Arial" w:cs="Arial" w:eastAsia="Arial" w:hAnsi="Arial"/>
                <w:sz w:val="16"/>
                <w:szCs w:val="16"/>
                <w:color w:val="auto"/>
              </w:rPr>
              <w:t>1,648.6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271.5</w:t>
            </w:r>
          </w:p>
        </w:tc>
        <w:tc>
          <w:tcPr>
            <w:tcW w:w="4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line="165" w:lineRule="exact"/>
              <w:rPr>
                <w:sz w:val="20"/>
                <w:szCs w:val="20"/>
                <w:color w:val="auto"/>
              </w:rPr>
            </w:pPr>
            <w:r>
              <w:rPr>
                <w:rFonts w:ascii="Arial" w:cs="Arial" w:eastAsia="Arial" w:hAnsi="Arial"/>
                <w:sz w:val="16"/>
                <w:szCs w:val="16"/>
                <w:color w:val="auto"/>
              </w:rPr>
              <w:t>20 %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line="165"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1,377.1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7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Increase due to growth in revenue from AEC collections,</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BIM360 and PlanGrid.</w:t>
            </w:r>
          </w:p>
        </w:tc>
        <w:tc>
          <w:tcPr>
            <w:tcW w:w="0" w:type="dxa"/>
            <w:vAlign w:val="bottom"/>
          </w:tcPr>
          <w:p>
            <w:pPr>
              <w:spacing w:after="0"/>
              <w:rPr>
                <w:sz w:val="1"/>
                <w:szCs w:val="1"/>
                <w:color w:val="auto"/>
              </w:rPr>
            </w:pPr>
          </w:p>
        </w:tc>
      </w:tr>
      <w:tr>
        <w:trPr>
          <w:trHeight w:val="171"/>
        </w:trPr>
        <w:tc>
          <w:tcPr>
            <w:tcW w:w="3600" w:type="dxa"/>
            <w:vAlign w:val="bottom"/>
          </w:tcPr>
          <w:p>
            <w:pPr>
              <w:ind w:left="340"/>
              <w:spacing w:after="0" w:line="171" w:lineRule="exact"/>
              <w:rPr>
                <w:sz w:val="20"/>
                <w:szCs w:val="20"/>
                <w:color w:val="auto"/>
              </w:rPr>
            </w:pPr>
            <w:r>
              <w:rPr>
                <w:rFonts w:ascii="Arial" w:cs="Arial" w:eastAsia="Arial" w:hAnsi="Arial"/>
                <w:sz w:val="18"/>
                <w:szCs w:val="18"/>
                <w:color w:val="auto"/>
              </w:rPr>
              <w:t>AutoCAD and AutoCAD LT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
              <w:spacing w:after="0" w:line="171" w:lineRule="exact"/>
              <w:rPr>
                <w:sz w:val="20"/>
                <w:szCs w:val="20"/>
                <w:color w:val="auto"/>
              </w:rPr>
            </w:pPr>
            <w:r>
              <w:rPr>
                <w:rFonts w:ascii="Arial" w:cs="Arial" w:eastAsia="Arial" w:hAnsi="Arial"/>
                <w:sz w:val="16"/>
                <w:szCs w:val="16"/>
                <w:color w:val="auto"/>
              </w:rPr>
              <w:t>1,099.4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6"/>
                <w:szCs w:val="16"/>
                <w:color w:val="auto"/>
              </w:rPr>
              <w:t>151.2</w:t>
            </w:r>
          </w:p>
        </w:tc>
        <w:tc>
          <w:tcPr>
            <w:tcW w:w="40" w:type="dxa"/>
            <w:vAlign w:val="bottom"/>
          </w:tcPr>
          <w:p>
            <w:pPr>
              <w:spacing w:after="0"/>
              <w:rPr>
                <w:sz w:val="14"/>
                <w:szCs w:val="14"/>
                <w:color w:val="auto"/>
              </w:rPr>
            </w:pPr>
          </w:p>
        </w:tc>
        <w:tc>
          <w:tcPr>
            <w:tcW w:w="960" w:type="dxa"/>
            <w:vAlign w:val="bottom"/>
            <w:gridSpan w:val="4"/>
          </w:tcPr>
          <w:p>
            <w:pPr>
              <w:jc w:val="right"/>
              <w:spacing w:after="0" w:line="171" w:lineRule="exact"/>
              <w:rPr>
                <w:sz w:val="20"/>
                <w:szCs w:val="20"/>
                <w:color w:val="auto"/>
              </w:rPr>
            </w:pPr>
            <w:r>
              <w:rPr>
                <w:rFonts w:ascii="Arial" w:cs="Arial" w:eastAsia="Arial" w:hAnsi="Arial"/>
                <w:sz w:val="16"/>
                <w:szCs w:val="16"/>
                <w:color w:val="auto"/>
              </w:rPr>
              <w:t>16 %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5"/>
          </w:tcPr>
          <w:p>
            <w:pPr>
              <w:ind w:left="300"/>
              <w:spacing w:after="0" w:line="171" w:lineRule="exact"/>
              <w:rPr>
                <w:sz w:val="20"/>
                <w:szCs w:val="20"/>
                <w:color w:val="auto"/>
              </w:rPr>
            </w:pPr>
            <w:r>
              <w:rPr>
                <w:rFonts w:ascii="Arial" w:cs="Arial" w:eastAsia="Arial" w:hAnsi="Arial"/>
                <w:sz w:val="16"/>
                <w:szCs w:val="16"/>
                <w:color w:val="auto"/>
                <w:w w:val="96"/>
              </w:rPr>
              <w:t>948.2   Increase due to growth in revenue from both AutoCAD</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rPr>
              <w:t>MFG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line="161" w:lineRule="exact"/>
              <w:rPr>
                <w:sz w:val="20"/>
                <w:szCs w:val="20"/>
                <w:color w:val="auto"/>
              </w:rPr>
            </w:pPr>
            <w:r>
              <w:rPr>
                <w:rFonts w:ascii="Arial" w:cs="Arial" w:eastAsia="Arial" w:hAnsi="Arial"/>
                <w:sz w:val="16"/>
                <w:szCs w:val="16"/>
                <w:color w:val="auto"/>
              </w:rPr>
              <w:t>798.6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72.5</w:t>
            </w:r>
          </w:p>
        </w:tc>
        <w:tc>
          <w:tcPr>
            <w:tcW w:w="4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line="161" w:lineRule="exact"/>
              <w:rPr>
                <w:sz w:val="20"/>
                <w:szCs w:val="20"/>
                <w:color w:val="auto"/>
              </w:rPr>
            </w:pPr>
            <w:r>
              <w:rPr>
                <w:rFonts w:ascii="Arial" w:cs="Arial" w:eastAsia="Arial" w:hAnsi="Arial"/>
                <w:sz w:val="16"/>
                <w:szCs w:val="16"/>
                <w:color w:val="auto"/>
              </w:rPr>
              <w:t>10 %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300"/>
              <w:spacing w:after="0" w:line="161" w:lineRule="exact"/>
              <w:rPr>
                <w:sz w:val="20"/>
                <w:szCs w:val="20"/>
                <w:color w:val="auto"/>
              </w:rPr>
            </w:pPr>
            <w:r>
              <w:rPr>
                <w:rFonts w:ascii="Arial" w:cs="Arial" w:eastAsia="Arial" w:hAnsi="Arial"/>
                <w:sz w:val="16"/>
                <w:szCs w:val="16"/>
                <w:color w:val="auto"/>
                <w:w w:val="92"/>
              </w:rPr>
              <w:t>726.1   Increase due to growth in revenue from MFG Collections,</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and Fusion360.</w:t>
            </w:r>
          </w:p>
        </w:tc>
        <w:tc>
          <w:tcPr>
            <w:tcW w:w="0" w:type="dxa"/>
            <w:vAlign w:val="bottom"/>
          </w:tcPr>
          <w:p>
            <w:pPr>
              <w:spacing w:after="0"/>
              <w:rPr>
                <w:sz w:val="1"/>
                <w:szCs w:val="1"/>
                <w:color w:val="auto"/>
              </w:rPr>
            </w:pPr>
          </w:p>
        </w:tc>
      </w:tr>
      <w:tr>
        <w:trPr>
          <w:trHeight w:val="162"/>
        </w:trPr>
        <w:tc>
          <w:tcPr>
            <w:tcW w:w="3600" w:type="dxa"/>
            <w:vAlign w:val="bottom"/>
          </w:tcPr>
          <w:p>
            <w:pPr>
              <w:ind w:left="340"/>
              <w:spacing w:after="0" w:line="161" w:lineRule="exact"/>
              <w:rPr>
                <w:sz w:val="20"/>
                <w:szCs w:val="20"/>
                <w:color w:val="auto"/>
              </w:rPr>
            </w:pPr>
            <w:r>
              <w:rPr>
                <w:rFonts w:ascii="Arial" w:cs="Arial" w:eastAsia="Arial" w:hAnsi="Arial"/>
                <w:sz w:val="16"/>
                <w:szCs w:val="16"/>
                <w:color w:val="auto"/>
              </w:rPr>
              <w:t>M&amp;E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
              <w:spacing w:after="0" w:line="161" w:lineRule="exact"/>
              <w:rPr>
                <w:sz w:val="20"/>
                <w:szCs w:val="20"/>
                <w:color w:val="auto"/>
              </w:rPr>
            </w:pPr>
            <w:r>
              <w:rPr>
                <w:rFonts w:ascii="Arial" w:cs="Arial" w:eastAsia="Arial" w:hAnsi="Arial"/>
                <w:sz w:val="16"/>
                <w:szCs w:val="16"/>
                <w:color w:val="auto"/>
              </w:rPr>
              <w:t>219.4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6"/>
                <w:szCs w:val="16"/>
                <w:color w:val="auto"/>
              </w:rPr>
              <w:t>20.2</w:t>
            </w:r>
          </w:p>
        </w:tc>
        <w:tc>
          <w:tcPr>
            <w:tcW w:w="40" w:type="dxa"/>
            <w:vAlign w:val="bottom"/>
          </w:tcPr>
          <w:p>
            <w:pPr>
              <w:spacing w:after="0"/>
              <w:rPr>
                <w:sz w:val="14"/>
                <w:szCs w:val="14"/>
                <w:color w:val="auto"/>
              </w:rPr>
            </w:pPr>
          </w:p>
        </w:tc>
        <w:tc>
          <w:tcPr>
            <w:tcW w:w="960" w:type="dxa"/>
            <w:vAlign w:val="bottom"/>
            <w:gridSpan w:val="4"/>
          </w:tcPr>
          <w:p>
            <w:pPr>
              <w:jc w:val="right"/>
              <w:spacing w:after="0" w:line="161" w:lineRule="exact"/>
              <w:rPr>
                <w:sz w:val="20"/>
                <w:szCs w:val="20"/>
                <w:color w:val="auto"/>
              </w:rPr>
            </w:pPr>
            <w:r>
              <w:rPr>
                <w:rFonts w:ascii="Arial" w:cs="Arial" w:eastAsia="Arial" w:hAnsi="Arial"/>
                <w:sz w:val="16"/>
                <w:szCs w:val="16"/>
                <w:color w:val="auto"/>
              </w:rPr>
              <w:t>10 %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5"/>
          </w:tcPr>
          <w:p>
            <w:pPr>
              <w:ind w:left="300"/>
              <w:spacing w:after="0" w:line="161" w:lineRule="exact"/>
              <w:rPr>
                <w:sz w:val="20"/>
                <w:szCs w:val="20"/>
                <w:color w:val="auto"/>
              </w:rPr>
            </w:pPr>
            <w:r>
              <w:rPr>
                <w:rFonts w:ascii="Arial" w:cs="Arial" w:eastAsia="Arial" w:hAnsi="Arial"/>
                <w:sz w:val="16"/>
                <w:szCs w:val="16"/>
                <w:color w:val="auto"/>
              </w:rPr>
              <w:t>199.2   Increase due to growth in revenue from EBAs, M&amp;E</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Collections, Maya, and 3DS Max.</w:t>
            </w:r>
          </w:p>
        </w:tc>
        <w:tc>
          <w:tcPr>
            <w:tcW w:w="0" w:type="dxa"/>
            <w:vAlign w:val="bottom"/>
          </w:tcPr>
          <w:p>
            <w:pPr>
              <w:spacing w:after="0"/>
              <w:rPr>
                <w:sz w:val="1"/>
                <w:szCs w:val="1"/>
                <w:color w:val="auto"/>
              </w:rPr>
            </w:pPr>
          </w:p>
        </w:tc>
      </w:tr>
      <w:tr>
        <w:trPr>
          <w:trHeight w:val="211"/>
        </w:trPr>
        <w:tc>
          <w:tcPr>
            <w:tcW w:w="3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w:t>
            </w:r>
          </w:p>
        </w:tc>
        <w:tc>
          <w:tcPr>
            <w:tcW w:w="40" w:type="dxa"/>
            <w:vAlign w:val="bottom"/>
            <w:tcBorders>
              <w:bottom w:val="single" w:sz="8" w:color="auto"/>
            </w:tcBorders>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3,274.3</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Fiscal Year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Change compared to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80"/>
              <w:spacing w:after="0" w:line="112" w:lineRule="exact"/>
              <w:rPr>
                <w:sz w:val="20"/>
                <w:szCs w:val="20"/>
                <w:color w:val="auto"/>
              </w:rPr>
            </w:pPr>
            <w:r>
              <w:rPr>
                <w:rFonts w:ascii="Arial" w:cs="Arial" w:eastAsia="Arial" w:hAnsi="Arial"/>
                <w:sz w:val="12"/>
                <w:szCs w:val="12"/>
                <w:b w:val="1"/>
                <w:bCs w:val="1"/>
                <w:color w:val="auto"/>
              </w:rPr>
              <w:t>Ended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300"/>
              <w:spacing w:after="0" w:line="112" w:lineRule="exact"/>
              <w:rPr>
                <w:sz w:val="20"/>
                <w:szCs w:val="20"/>
                <w:color w:val="auto"/>
              </w:rPr>
            </w:pPr>
            <w:r>
              <w:rPr>
                <w:rFonts w:ascii="Arial" w:cs="Arial" w:eastAsia="Arial" w:hAnsi="Arial"/>
                <w:sz w:val="12"/>
                <w:szCs w:val="12"/>
                <w:b w:val="1"/>
                <w:bCs w:val="1"/>
                <w:color w:val="auto"/>
              </w:rPr>
              <w:t>Ended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20" w:type="dxa"/>
            <w:vAlign w:val="bottom"/>
          </w:tcPr>
          <w:p>
            <w:pPr>
              <w:spacing w:after="0"/>
              <w:rPr>
                <w:sz w:val="9"/>
                <w:szCs w:val="9"/>
                <w:color w:val="auto"/>
              </w:rPr>
            </w:pPr>
          </w:p>
        </w:tc>
        <w:tc>
          <w:tcPr>
            <w:tcW w:w="940" w:type="dxa"/>
            <w:vAlign w:val="bottom"/>
            <w:gridSpan w:val="4"/>
          </w:tcPr>
          <w:p>
            <w:pPr>
              <w:jc w:val="center"/>
              <w:ind w:right="80"/>
              <w:spacing w:after="0" w:line="112" w:lineRule="exact"/>
              <w:rPr>
                <w:sz w:val="20"/>
                <w:szCs w:val="20"/>
                <w:color w:val="auto"/>
              </w:rPr>
            </w:pPr>
            <w:r>
              <w:rPr>
                <w:rFonts w:ascii="Arial" w:cs="Arial" w:eastAsia="Arial" w:hAnsi="Arial"/>
                <w:sz w:val="12"/>
                <w:szCs w:val="12"/>
                <w:b w:val="1"/>
                <w:bCs w:val="1"/>
                <w:color w:val="auto"/>
              </w:rPr>
              <w:t>January 31,</w:t>
            </w: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303"/>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vMerge w:val="restart"/>
          </w:tcPr>
          <w:p>
            <w:pPr>
              <w:jc w:val="right"/>
              <w:ind w:right="4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spacing w:after="0" w:line="112" w:lineRule="exact"/>
              <w:rPr>
                <w:sz w:val="20"/>
                <w:szCs w:val="20"/>
                <w:color w:val="auto"/>
              </w:rPr>
            </w:pPr>
            <w:r>
              <w:rPr>
                <w:rFonts w:ascii="Arial" w:cs="Arial" w:eastAsia="Arial" w:hAnsi="Arial"/>
                <w:sz w:val="12"/>
                <w:szCs w:val="12"/>
                <w:b w:val="1"/>
                <w:bCs w:val="1"/>
                <w:color w:val="auto"/>
              </w:rPr>
              <w:t>January 31,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3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6"/>
                <w:szCs w:val="16"/>
                <w:color w:val="auto"/>
              </w:rPr>
              <w:t>Net revenue by product family:</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AEC</w:t>
            </w:r>
          </w:p>
        </w:tc>
        <w:tc>
          <w:tcPr>
            <w:tcW w:w="12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1,377.1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355.5</w:t>
            </w: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line="165" w:lineRule="exact"/>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140"/>
              <w:spacing w:after="0" w:line="165" w:lineRule="exact"/>
              <w:rPr>
                <w:sz w:val="20"/>
                <w:szCs w:val="20"/>
                <w:color w:val="auto"/>
              </w:rPr>
            </w:pPr>
            <w:r>
              <w:rPr>
                <w:rFonts w:ascii="Arial" w:cs="Arial" w:eastAsia="Arial" w:hAnsi="Arial"/>
                <w:sz w:val="16"/>
                <w:szCs w:val="16"/>
                <w:color w:val="auto"/>
                <w:w w:val="94"/>
              </w:rPr>
              <w:t>1,021.6   Increase due to growth in revenue from AEC collections,</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PlanGrid, EBAs, and BIM 360.</w:t>
            </w:r>
          </w:p>
        </w:tc>
        <w:tc>
          <w:tcPr>
            <w:tcW w:w="0" w:type="dxa"/>
            <w:vAlign w:val="bottom"/>
          </w:tcPr>
          <w:p>
            <w:pPr>
              <w:spacing w:after="0"/>
              <w:rPr>
                <w:sz w:val="1"/>
                <w:szCs w:val="1"/>
                <w:color w:val="auto"/>
              </w:rPr>
            </w:pPr>
          </w:p>
        </w:tc>
      </w:tr>
      <w:tr>
        <w:trPr>
          <w:trHeight w:val="171"/>
        </w:trPr>
        <w:tc>
          <w:tcPr>
            <w:tcW w:w="3600" w:type="dxa"/>
            <w:vAlign w:val="bottom"/>
          </w:tcPr>
          <w:p>
            <w:pPr>
              <w:ind w:left="340"/>
              <w:spacing w:after="0" w:line="171" w:lineRule="exact"/>
              <w:rPr>
                <w:sz w:val="20"/>
                <w:szCs w:val="20"/>
                <w:color w:val="auto"/>
              </w:rPr>
            </w:pPr>
            <w:r>
              <w:rPr>
                <w:rFonts w:ascii="Arial" w:cs="Arial" w:eastAsia="Arial" w:hAnsi="Arial"/>
                <w:sz w:val="18"/>
                <w:szCs w:val="18"/>
                <w:color w:val="auto"/>
              </w:rPr>
              <w:t>AutoCAD and AutoCAD LT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948.2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
              <w:spacing w:after="0" w:line="171" w:lineRule="exact"/>
              <w:rPr>
                <w:sz w:val="20"/>
                <w:szCs w:val="20"/>
                <w:color w:val="auto"/>
              </w:rPr>
            </w:pPr>
            <w:r>
              <w:rPr>
                <w:rFonts w:ascii="Arial" w:cs="Arial" w:eastAsia="Arial" w:hAnsi="Arial"/>
                <w:sz w:val="16"/>
                <w:szCs w:val="16"/>
                <w:color w:val="auto"/>
              </w:rPr>
              <w:t>216.4</w:t>
            </w:r>
          </w:p>
        </w:tc>
        <w:tc>
          <w:tcPr>
            <w:tcW w:w="40" w:type="dxa"/>
            <w:vAlign w:val="bottom"/>
          </w:tcPr>
          <w:p>
            <w:pPr>
              <w:spacing w:after="0"/>
              <w:rPr>
                <w:sz w:val="14"/>
                <w:szCs w:val="14"/>
                <w:color w:val="auto"/>
              </w:rPr>
            </w:pPr>
          </w:p>
        </w:tc>
        <w:tc>
          <w:tcPr>
            <w:tcW w:w="840" w:type="dxa"/>
            <w:vAlign w:val="bottom"/>
            <w:gridSpan w:val="3"/>
          </w:tcPr>
          <w:p>
            <w:pPr>
              <w:jc w:val="right"/>
              <w:spacing w:after="0" w:line="171" w:lineRule="exact"/>
              <w:rPr>
                <w:sz w:val="20"/>
                <w:szCs w:val="20"/>
                <w:color w:val="auto"/>
              </w:rPr>
            </w:pPr>
            <w:r>
              <w:rPr>
                <w:rFonts w:ascii="Arial" w:cs="Arial" w:eastAsia="Arial" w:hAnsi="Arial"/>
                <w:sz w:val="16"/>
                <w:szCs w:val="16"/>
                <w:color w:val="auto"/>
              </w:rPr>
              <w:t>30 %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5"/>
          </w:tcPr>
          <w:p>
            <w:pPr>
              <w:ind w:left="260"/>
              <w:spacing w:after="0" w:line="171" w:lineRule="exact"/>
              <w:rPr>
                <w:sz w:val="20"/>
                <w:szCs w:val="20"/>
                <w:color w:val="auto"/>
              </w:rPr>
            </w:pPr>
            <w:r>
              <w:rPr>
                <w:rFonts w:ascii="Arial" w:cs="Arial" w:eastAsia="Arial" w:hAnsi="Arial"/>
                <w:sz w:val="16"/>
                <w:szCs w:val="16"/>
                <w:color w:val="auto"/>
                <w:w w:val="97"/>
              </w:rPr>
              <w:t>731.8   Increase due to growth in revenue from both AutoCAD</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rPr>
              <w:t>MFG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726.1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line="161" w:lineRule="exact"/>
              <w:rPr>
                <w:sz w:val="20"/>
                <w:szCs w:val="20"/>
                <w:color w:val="auto"/>
              </w:rPr>
            </w:pPr>
            <w:r>
              <w:rPr>
                <w:rFonts w:ascii="Arial" w:cs="Arial" w:eastAsia="Arial" w:hAnsi="Arial"/>
                <w:sz w:val="16"/>
                <w:szCs w:val="16"/>
                <w:color w:val="auto"/>
              </w:rPr>
              <w:t>109.9</w:t>
            </w: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line="161" w:lineRule="exact"/>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260"/>
              <w:spacing w:after="0" w:line="161" w:lineRule="exact"/>
              <w:rPr>
                <w:sz w:val="20"/>
                <w:szCs w:val="20"/>
                <w:color w:val="auto"/>
              </w:rPr>
            </w:pPr>
            <w:r>
              <w:rPr>
                <w:rFonts w:ascii="Arial" w:cs="Arial" w:eastAsia="Arial" w:hAnsi="Arial"/>
                <w:sz w:val="16"/>
                <w:szCs w:val="16"/>
                <w:color w:val="auto"/>
                <w:w w:val="94"/>
              </w:rPr>
              <w:t>616.2   Increase due to growth in revenue from MFG Collections</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162"/>
        </w:trPr>
        <w:tc>
          <w:tcPr>
            <w:tcW w:w="3600" w:type="dxa"/>
            <w:vAlign w:val="bottom"/>
          </w:tcPr>
          <w:p>
            <w:pPr>
              <w:ind w:left="340"/>
              <w:spacing w:after="0" w:line="161" w:lineRule="exact"/>
              <w:rPr>
                <w:sz w:val="20"/>
                <w:szCs w:val="20"/>
                <w:color w:val="auto"/>
              </w:rPr>
            </w:pPr>
            <w:r>
              <w:rPr>
                <w:rFonts w:ascii="Arial" w:cs="Arial" w:eastAsia="Arial" w:hAnsi="Arial"/>
                <w:sz w:val="16"/>
                <w:szCs w:val="16"/>
                <w:color w:val="auto"/>
              </w:rPr>
              <w:t>M&amp;E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199.2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
              <w:spacing w:after="0" w:line="161" w:lineRule="exact"/>
              <w:rPr>
                <w:sz w:val="20"/>
                <w:szCs w:val="20"/>
                <w:color w:val="auto"/>
              </w:rPr>
            </w:pPr>
            <w:r>
              <w:rPr>
                <w:rFonts w:ascii="Arial" w:cs="Arial" w:eastAsia="Arial" w:hAnsi="Arial"/>
                <w:sz w:val="16"/>
                <w:szCs w:val="16"/>
                <w:color w:val="auto"/>
              </w:rPr>
              <w:t>17.2</w:t>
            </w:r>
          </w:p>
        </w:tc>
        <w:tc>
          <w:tcPr>
            <w:tcW w:w="40" w:type="dxa"/>
            <w:vAlign w:val="bottom"/>
          </w:tcPr>
          <w:p>
            <w:pPr>
              <w:spacing w:after="0"/>
              <w:rPr>
                <w:sz w:val="14"/>
                <w:szCs w:val="14"/>
                <w:color w:val="auto"/>
              </w:rPr>
            </w:pPr>
          </w:p>
        </w:tc>
        <w:tc>
          <w:tcPr>
            <w:tcW w:w="840" w:type="dxa"/>
            <w:vAlign w:val="bottom"/>
            <w:gridSpan w:val="3"/>
          </w:tcPr>
          <w:p>
            <w:pPr>
              <w:jc w:val="right"/>
              <w:spacing w:after="0" w:line="161" w:lineRule="exact"/>
              <w:rPr>
                <w:sz w:val="20"/>
                <w:szCs w:val="20"/>
                <w:color w:val="auto"/>
              </w:rPr>
            </w:pPr>
            <w:r>
              <w:rPr>
                <w:rFonts w:ascii="Arial" w:cs="Arial" w:eastAsia="Arial" w:hAnsi="Arial"/>
                <w:sz w:val="16"/>
                <w:szCs w:val="16"/>
                <w:color w:val="auto"/>
              </w:rPr>
              <w:t>9 %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5"/>
          </w:tcPr>
          <w:p>
            <w:pPr>
              <w:ind w:left="260"/>
              <w:spacing w:after="0" w:line="161" w:lineRule="exact"/>
              <w:rPr>
                <w:sz w:val="20"/>
                <w:szCs w:val="20"/>
                <w:color w:val="auto"/>
              </w:rPr>
            </w:pPr>
            <w:r>
              <w:rPr>
                <w:rFonts w:ascii="Arial" w:cs="Arial" w:eastAsia="Arial" w:hAnsi="Arial"/>
                <w:sz w:val="16"/>
                <w:szCs w:val="16"/>
                <w:color w:val="auto"/>
              </w:rPr>
              <w:t>182.0   Increase due to growth in revenue from Maya, M&amp;E</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Collections and 3DS Max.</w:t>
            </w:r>
          </w:p>
        </w:tc>
        <w:tc>
          <w:tcPr>
            <w:tcW w:w="0" w:type="dxa"/>
            <w:vAlign w:val="bottom"/>
          </w:tcPr>
          <w:p>
            <w:pPr>
              <w:spacing w:after="0"/>
              <w:rPr>
                <w:sz w:val="1"/>
                <w:szCs w:val="1"/>
                <w:color w:val="auto"/>
              </w:rPr>
            </w:pPr>
          </w:p>
        </w:tc>
      </w:tr>
      <w:tr>
        <w:trPr>
          <w:trHeight w:val="211"/>
        </w:trPr>
        <w:tc>
          <w:tcPr>
            <w:tcW w:w="3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5.5</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3,274.3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704.5</w:t>
            </w:r>
          </w:p>
        </w:tc>
        <w:tc>
          <w:tcPr>
            <w:tcW w:w="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2,569.8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Geographic Area</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Constant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Constant</w:t>
            </w:r>
          </w:p>
        </w:tc>
        <w:tc>
          <w:tcPr>
            <w:tcW w:w="100" w:type="dxa"/>
            <w:vAlign w:val="bottom"/>
          </w:tcPr>
          <w:p>
            <w:pPr>
              <w:spacing w:after="0"/>
              <w:rPr>
                <w:sz w:val="14"/>
                <w:szCs w:val="14"/>
                <w:color w:val="auto"/>
              </w:rPr>
            </w:pPr>
          </w:p>
        </w:tc>
        <w:tc>
          <w:tcPr>
            <w:tcW w:w="8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 compared to</w:t>
            </w:r>
          </w:p>
        </w:tc>
        <w:tc>
          <w:tcPr>
            <w:tcW w:w="11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1"/>
                <w:szCs w:val="11"/>
                <w:color w:val="auto"/>
              </w:rPr>
            </w:pPr>
          </w:p>
        </w:tc>
        <w:tc>
          <w:tcPr>
            <w:tcW w:w="1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14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87"/>
              </w:rPr>
              <w:t>currency change</w:t>
            </w:r>
          </w:p>
        </w:tc>
        <w:tc>
          <w:tcPr>
            <w:tcW w:w="100" w:type="dxa"/>
            <w:vAlign w:val="bottom"/>
          </w:tcPr>
          <w:p>
            <w:pPr>
              <w:spacing w:after="0"/>
              <w:rPr>
                <w:sz w:val="11"/>
                <w:szCs w:val="11"/>
                <w:color w:val="auto"/>
              </w:rPr>
            </w:pPr>
          </w:p>
        </w:tc>
        <w:tc>
          <w:tcPr>
            <w:tcW w:w="840" w:type="dxa"/>
            <w:vAlign w:val="bottom"/>
          </w:tcPr>
          <w:p>
            <w:pPr>
              <w:jc w:val="center"/>
              <w:ind w:right="24"/>
              <w:spacing w:after="0" w:line="132"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3"/>
              </w:rPr>
              <w:t>January 31,</w:t>
            </w:r>
          </w:p>
        </w:tc>
        <w:tc>
          <w:tcPr>
            <w:tcW w:w="1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1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8"/>
              </w:rPr>
              <w:t>compared to</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14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88"/>
              </w:rPr>
              <w:t>compared to</w:t>
            </w:r>
          </w:p>
        </w:tc>
        <w:tc>
          <w:tcPr>
            <w:tcW w:w="100" w:type="dxa"/>
            <w:vAlign w:val="bottom"/>
          </w:tcPr>
          <w:p>
            <w:pPr>
              <w:spacing w:after="0"/>
              <w:rPr>
                <w:sz w:val="11"/>
                <w:szCs w:val="11"/>
                <w:color w:val="auto"/>
              </w:rPr>
            </w:pPr>
          </w:p>
        </w:tc>
        <w:tc>
          <w:tcPr>
            <w:tcW w:w="840" w:type="dxa"/>
            <w:vAlign w:val="bottom"/>
          </w:tcPr>
          <w:p>
            <w:pPr>
              <w:jc w:val="center"/>
              <w:ind w:right="24"/>
              <w:spacing w:after="0" w:line="132" w:lineRule="exact"/>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prior fiscal year</w:t>
            </w:r>
          </w:p>
        </w:tc>
        <w:tc>
          <w:tcPr>
            <w:tcW w:w="120" w:type="dxa"/>
            <w:vAlign w:val="bottom"/>
          </w:tcPr>
          <w:p>
            <w:pPr>
              <w:spacing w:after="0"/>
              <w:rPr>
                <w:sz w:val="15"/>
                <w:szCs w:val="15"/>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prior fiscal year</w:t>
            </w:r>
          </w:p>
        </w:tc>
        <w:tc>
          <w:tcPr>
            <w:tcW w:w="100" w:type="dxa"/>
            <w:vAlign w:val="bottom"/>
          </w:tcPr>
          <w:p>
            <w:pPr>
              <w:spacing w:after="0"/>
              <w:rPr>
                <w:sz w:val="15"/>
                <w:szCs w:val="15"/>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32"/>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172.9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1,108.9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Americas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206.6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08"/>
        </w:trPr>
        <w:tc>
          <w:tcPr>
            <w:tcW w:w="2280" w:type="dxa"/>
            <w:vAlign w:val="bottom"/>
          </w:tcPr>
          <w:p>
            <w:pPr>
              <w:ind w:left="140"/>
              <w:spacing w:after="0"/>
              <w:rPr>
                <w:sz w:val="20"/>
                <w:szCs w:val="20"/>
                <w:color w:val="auto"/>
              </w:rPr>
            </w:pPr>
            <w:r>
              <w:rPr>
                <w:rFonts w:ascii="Arial" w:cs="Arial" w:eastAsia="Arial" w:hAnsi="Arial"/>
                <w:sz w:val="16"/>
                <w:szCs w:val="16"/>
                <w:color w:val="auto"/>
              </w:rPr>
              <w:t>EMEA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Arial" w:cs="Arial" w:eastAsia="Arial" w:hAnsi="Arial"/>
                <w:sz w:val="16"/>
                <w:szCs w:val="16"/>
                <w:color w:val="auto"/>
              </w:rPr>
              <w:t>169.1</w:t>
            </w:r>
          </w:p>
        </w:tc>
        <w:tc>
          <w:tcPr>
            <w:tcW w:w="9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1,303.5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269.2</w:t>
            </w:r>
          </w:p>
        </w:tc>
        <w:tc>
          <w:tcPr>
            <w:tcW w:w="98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1,034.3</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APAC</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140.4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635.0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516.1</w:t>
            </w:r>
          </w:p>
        </w:tc>
        <w:tc>
          <w:tcPr>
            <w:tcW w:w="96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3,274.3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704.5</w:t>
            </w:r>
          </w:p>
        </w:tc>
        <w:tc>
          <w:tcPr>
            <w:tcW w:w="9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2,569.8</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Arial" w:cs="Arial" w:eastAsia="Arial" w:hAnsi="Arial"/>
                <w:sz w:val="16"/>
                <w:szCs w:val="16"/>
                <w:color w:val="auto"/>
              </w:rPr>
              <w:t>Emerging economies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
              <w:spacing w:after="0"/>
              <w:rPr>
                <w:sz w:val="20"/>
                <w:szCs w:val="20"/>
                <w:color w:val="auto"/>
              </w:rPr>
            </w:pPr>
            <w:r>
              <w:rPr>
                <w:rFonts w:ascii="Arial" w:cs="Arial" w:eastAsia="Arial" w:hAnsi="Arial"/>
                <w:sz w:val="16"/>
                <w:szCs w:val="16"/>
                <w:color w:val="auto"/>
              </w:rPr>
              <w:t>67.0</w:t>
            </w:r>
          </w:p>
        </w:tc>
        <w:tc>
          <w:tcPr>
            <w:tcW w:w="96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88.8</w:t>
            </w:r>
          </w:p>
        </w:tc>
        <w:tc>
          <w:tcPr>
            <w:tcW w:w="9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75"/>
        </w:trPr>
        <w:tc>
          <w:tcPr>
            <w:tcW w:w="2280" w:type="dxa"/>
            <w:vAlign w:val="bottom"/>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Constant currency data not provided at this level.</w:t>
      </w:r>
    </w:p>
    <w:p>
      <w:pPr>
        <w:spacing w:after="0" w:line="222" w:lineRule="exact"/>
        <w:rPr>
          <w:sz w:val="20"/>
          <w:szCs w:val="20"/>
          <w:color w:val="auto"/>
        </w:rPr>
      </w:pPr>
    </w:p>
    <w:p>
      <w:pPr>
        <w:ind w:right="240" w:firstLine="435"/>
        <w:spacing w:after="0" w:line="28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Sales Channel</w:t>
      </w: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w:t>
            </w:r>
          </w:p>
        </w:tc>
        <w:tc>
          <w:tcPr>
            <w:tcW w:w="21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Change compared to prior fiscal</w:t>
            </w:r>
          </w:p>
        </w:tc>
        <w:tc>
          <w:tcPr>
            <w:tcW w:w="80" w:type="dxa"/>
            <w:vAlign w:val="bottom"/>
          </w:tcPr>
          <w:p>
            <w:pPr>
              <w:spacing w:after="0"/>
              <w:rPr>
                <w:sz w:val="14"/>
                <w:szCs w:val="14"/>
                <w:color w:val="auto"/>
              </w:rPr>
            </w:pPr>
          </w:p>
        </w:tc>
        <w:tc>
          <w:tcPr>
            <w:tcW w:w="82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gridSpan w:val="4"/>
          </w:tcPr>
          <w:p>
            <w:pPr>
              <w:jc w:val="center"/>
              <w:ind w:right="980"/>
              <w:spacing w:after="0" w:line="132" w:lineRule="exact"/>
              <w:rPr>
                <w:sz w:val="20"/>
                <w:szCs w:val="20"/>
                <w:color w:val="auto"/>
              </w:rPr>
            </w:pPr>
            <w:r>
              <w:rPr>
                <w:rFonts w:ascii="Arial" w:cs="Arial" w:eastAsia="Arial" w:hAnsi="Arial"/>
                <w:sz w:val="14"/>
                <w:szCs w:val="14"/>
                <w:b w:val="1"/>
                <w:bCs w:val="1"/>
                <w:color w:val="auto"/>
                <w:w w:val="90"/>
              </w:rPr>
              <w:t>year</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60"/>
              <w:spacing w:after="0" w:line="106" w:lineRule="exact"/>
              <w:rPr>
                <w:sz w:val="20"/>
                <w:szCs w:val="20"/>
                <w:color w:val="auto"/>
              </w:rPr>
            </w:pPr>
            <w:r>
              <w:rPr>
                <w:rFonts w:ascii="Arial" w:cs="Arial" w:eastAsia="Arial" w:hAnsi="Arial"/>
                <w:sz w:val="12"/>
                <w:szCs w:val="12"/>
                <w:b w:val="1"/>
                <w:bCs w:val="1"/>
                <w:color w:val="auto"/>
              </w:rPr>
              <w:t>Ended</w:t>
            </w: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ind w:right="27"/>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percentages)</w:t>
            </w:r>
          </w:p>
        </w:tc>
        <w:tc>
          <w:tcPr>
            <w:tcW w:w="9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Pr>
          <w:p>
            <w:pPr>
              <w:spacing w:after="0"/>
              <w:rPr>
                <w:sz w:val="11"/>
                <w:szCs w:val="11"/>
                <w:color w:val="auto"/>
              </w:rPr>
            </w:pPr>
          </w:p>
        </w:tc>
        <w:tc>
          <w:tcPr>
            <w:tcW w:w="64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7"/>
              <w:spacing w:after="0" w:line="132"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1"/>
                <w:szCs w:val="11"/>
                <w:color w:val="auto"/>
              </w:rPr>
            </w:pPr>
          </w:p>
        </w:tc>
        <w:tc>
          <w:tcPr>
            <w:tcW w:w="35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revenue by sales channel:</w:t>
            </w: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480"/>
              <w:spacing w:after="0" w:line="161" w:lineRule="exact"/>
              <w:rPr>
                <w:sz w:val="20"/>
                <w:szCs w:val="20"/>
                <w:color w:val="auto"/>
              </w:rPr>
            </w:pPr>
            <w:r>
              <w:rPr>
                <w:rFonts w:ascii="Arial" w:cs="Arial" w:eastAsia="Arial" w:hAnsi="Arial"/>
                <w:sz w:val="16"/>
                <w:szCs w:val="16"/>
                <w:color w:val="auto"/>
              </w:rPr>
              <w:t>Indirect</w:t>
            </w:r>
          </w:p>
        </w:tc>
        <w:tc>
          <w:tcPr>
            <w:tcW w:w="16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2,600.0</w:t>
            </w:r>
          </w:p>
        </w:tc>
        <w:tc>
          <w:tcPr>
            <w:tcW w:w="100" w:type="dxa"/>
            <w:vAlign w:val="bottom"/>
          </w:tcPr>
          <w:p>
            <w:pPr>
              <w:spacing w:after="0"/>
              <w:rPr>
                <w:sz w:val="14"/>
                <w:szCs w:val="14"/>
                <w:color w:val="auto"/>
              </w:rPr>
            </w:pPr>
          </w:p>
        </w:tc>
        <w:tc>
          <w:tcPr>
            <w:tcW w:w="220" w:type="dxa"/>
            <w:vAlign w:val="bottom"/>
          </w:tcPr>
          <w:p>
            <w:pPr>
              <w:jc w:val="right"/>
              <w:ind w:right="44"/>
              <w:spacing w:after="0" w:line="161"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1" w:lineRule="exact"/>
              <w:rPr>
                <w:sz w:val="20"/>
                <w:szCs w:val="20"/>
                <w:color w:val="auto"/>
              </w:rPr>
            </w:pPr>
            <w:r>
              <w:rPr>
                <w:rFonts w:ascii="Arial" w:cs="Arial" w:eastAsia="Arial" w:hAnsi="Arial"/>
                <w:sz w:val="16"/>
                <w:szCs w:val="16"/>
                <w:color w:val="auto"/>
              </w:rPr>
              <w:t>317.8</w:t>
            </w:r>
          </w:p>
        </w:tc>
        <w:tc>
          <w:tcPr>
            <w:tcW w:w="1200" w:type="dxa"/>
            <w:vAlign w:val="bottom"/>
            <w:gridSpan w:val="3"/>
          </w:tcPr>
          <w:p>
            <w:pPr>
              <w:jc w:val="right"/>
              <w:ind w:right="20"/>
              <w:spacing w:after="0" w:line="161" w:lineRule="exact"/>
              <w:rPr>
                <w:sz w:val="20"/>
                <w:szCs w:val="20"/>
                <w:color w:val="auto"/>
              </w:rPr>
            </w:pPr>
            <w:r>
              <w:rPr>
                <w:rFonts w:ascii="Arial" w:cs="Arial" w:eastAsia="Arial" w:hAnsi="Arial"/>
                <w:sz w:val="16"/>
                <w:szCs w:val="16"/>
                <w:color w:val="auto"/>
              </w:rPr>
              <w:t>14 %</w:t>
            </w:r>
          </w:p>
        </w:tc>
        <w:tc>
          <w:tcPr>
            <w:tcW w:w="120" w:type="dxa"/>
            <w:vAlign w:val="bottom"/>
          </w:tcPr>
          <w:p>
            <w:pPr>
              <w:spacing w:after="0"/>
              <w:rPr>
                <w:sz w:val="14"/>
                <w:szCs w:val="14"/>
                <w:color w:val="auto"/>
              </w:rPr>
            </w:pPr>
          </w:p>
        </w:tc>
        <w:tc>
          <w:tcPr>
            <w:tcW w:w="80" w:type="dxa"/>
            <w:vAlign w:val="bottom"/>
          </w:tcPr>
          <w:p>
            <w:pPr>
              <w:jc w:val="right"/>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2,282.2</w:t>
            </w:r>
          </w:p>
        </w:tc>
        <w:tc>
          <w:tcPr>
            <w:tcW w:w="100" w:type="dxa"/>
            <w:vAlign w:val="bottom"/>
          </w:tcPr>
          <w:p>
            <w:pPr>
              <w:spacing w:after="0"/>
              <w:rPr>
                <w:sz w:val="14"/>
                <w:szCs w:val="14"/>
                <w:color w:val="auto"/>
              </w:rPr>
            </w:pPr>
          </w:p>
        </w:tc>
        <w:tc>
          <w:tcPr>
            <w:tcW w:w="3560" w:type="dxa"/>
            <w:vAlign w:val="bottom"/>
          </w:tcPr>
          <w:p>
            <w:pPr>
              <w:ind w:left="20"/>
              <w:spacing w:after="0" w:line="161" w:lineRule="exact"/>
              <w:rPr>
                <w:sz w:val="20"/>
                <w:szCs w:val="20"/>
                <w:color w:val="auto"/>
              </w:rPr>
            </w:pPr>
            <w:r>
              <w:rPr>
                <w:rFonts w:ascii="Arial" w:cs="Arial" w:eastAsia="Arial" w:hAnsi="Arial"/>
                <w:sz w:val="16"/>
                <w:szCs w:val="16"/>
                <w:color w:val="auto"/>
                <w:w w:val="93"/>
              </w:rPr>
              <w:t>Increase due to growth in subscription revenue offset</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line="158" w:lineRule="exact"/>
              <w:rPr>
                <w:sz w:val="20"/>
                <w:szCs w:val="20"/>
                <w:color w:val="auto"/>
              </w:rPr>
            </w:pPr>
            <w:r>
              <w:rPr>
                <w:rFonts w:ascii="Arial" w:cs="Arial" w:eastAsia="Arial" w:hAnsi="Arial"/>
                <w:sz w:val="16"/>
                <w:szCs w:val="16"/>
                <w:color w:val="auto"/>
              </w:rPr>
              <w:t>by lower maintenance plan subscriptions as we</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line="158" w:lineRule="exact"/>
              <w:rPr>
                <w:sz w:val="20"/>
                <w:szCs w:val="20"/>
                <w:color w:val="auto"/>
              </w:rPr>
            </w:pPr>
            <w:r>
              <w:rPr>
                <w:rFonts w:ascii="Arial" w:cs="Arial" w:eastAsia="Arial" w:hAnsi="Arial"/>
                <w:sz w:val="16"/>
                <w:szCs w:val="16"/>
                <w:color w:val="auto"/>
                <w:w w:val="90"/>
              </w:rPr>
              <w:t>continue to migrate customers to subscriptions through</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the M2S program.</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Direct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1,190.4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198.3</w:t>
            </w:r>
          </w:p>
        </w:tc>
        <w:tc>
          <w:tcPr>
            <w:tcW w:w="120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992.1</w:t>
            </w:r>
          </w:p>
        </w:tc>
        <w:tc>
          <w:tcPr>
            <w:tcW w:w="100" w:type="dxa"/>
            <w:vAlign w:val="bottom"/>
            <w:shd w:val="clear" w:color="auto" w:fill="CCEEFF"/>
          </w:tcPr>
          <w:p>
            <w:pPr>
              <w:spacing w:after="0"/>
              <w:rPr>
                <w:sz w:val="14"/>
                <w:szCs w:val="14"/>
                <w:color w:val="auto"/>
              </w:rPr>
            </w:pPr>
          </w:p>
        </w:tc>
        <w:tc>
          <w:tcPr>
            <w:tcW w:w="35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Increase due to growth in EBAs and our online</w:t>
            </w: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Autodesk branded store.</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20"/>
                <w:szCs w:val="20"/>
                <w:color w:val="auto"/>
              </w:rPr>
            </w:pPr>
            <w:r>
              <w:rPr>
                <w:rFonts w:ascii="Arial" w:cs="Arial" w:eastAsia="Arial" w:hAnsi="Arial"/>
                <w:sz w:val="16"/>
                <w:szCs w:val="16"/>
                <w:color w:val="auto"/>
              </w:rPr>
              <w:t>Total net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3,790.4</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516.1</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3,274.3</w:t>
            </w:r>
          </w:p>
        </w:tc>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3500" w:type="dxa"/>
            <w:vAlign w:val="bottom"/>
          </w:tcPr>
          <w:p>
            <w:pPr>
              <w:spacing w:after="0"/>
              <w:rPr>
                <w:sz w:val="24"/>
                <w:szCs w:val="2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w:t>
            </w:r>
          </w:p>
        </w:tc>
        <w:tc>
          <w:tcPr>
            <w:tcW w:w="21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Change compared to prior fiscal</w:t>
            </w:r>
          </w:p>
        </w:tc>
        <w:tc>
          <w:tcPr>
            <w:tcW w:w="80" w:type="dxa"/>
            <w:vAlign w:val="bottom"/>
          </w:tcPr>
          <w:p>
            <w:pPr>
              <w:spacing w:after="0"/>
              <w:rPr>
                <w:sz w:val="24"/>
                <w:szCs w:val="24"/>
                <w:color w:val="auto"/>
              </w:rPr>
            </w:pPr>
          </w:p>
        </w:tc>
        <w:tc>
          <w:tcPr>
            <w:tcW w:w="82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gridSpan w:val="4"/>
          </w:tcPr>
          <w:p>
            <w:pPr>
              <w:jc w:val="center"/>
              <w:ind w:right="980"/>
              <w:spacing w:after="0" w:line="132" w:lineRule="exact"/>
              <w:rPr>
                <w:sz w:val="20"/>
                <w:szCs w:val="20"/>
                <w:color w:val="auto"/>
              </w:rPr>
            </w:pPr>
            <w:r>
              <w:rPr>
                <w:rFonts w:ascii="Arial" w:cs="Arial" w:eastAsia="Arial" w:hAnsi="Arial"/>
                <w:sz w:val="14"/>
                <w:szCs w:val="14"/>
                <w:b w:val="1"/>
                <w:bCs w:val="1"/>
                <w:color w:val="auto"/>
                <w:w w:val="90"/>
              </w:rPr>
              <w:t>year</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60"/>
              <w:spacing w:after="0" w:line="106" w:lineRule="exact"/>
              <w:rPr>
                <w:sz w:val="20"/>
                <w:szCs w:val="20"/>
                <w:color w:val="auto"/>
              </w:rPr>
            </w:pPr>
            <w:r>
              <w:rPr>
                <w:rFonts w:ascii="Arial" w:cs="Arial" w:eastAsia="Arial" w:hAnsi="Arial"/>
                <w:sz w:val="12"/>
                <w:szCs w:val="12"/>
                <w:b w:val="1"/>
                <w:bCs w:val="1"/>
                <w:color w:val="auto"/>
              </w:rPr>
              <w:t>Ended</w:t>
            </w: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ind w:right="27"/>
              <w:spacing w:after="0" w:line="106"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percentages)</w:t>
            </w:r>
          </w:p>
        </w:tc>
        <w:tc>
          <w:tcPr>
            <w:tcW w:w="9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Pr>
          <w:p>
            <w:pPr>
              <w:spacing w:after="0"/>
              <w:rPr>
                <w:sz w:val="11"/>
                <w:szCs w:val="11"/>
                <w:color w:val="auto"/>
              </w:rPr>
            </w:pPr>
          </w:p>
        </w:tc>
        <w:tc>
          <w:tcPr>
            <w:tcW w:w="64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7"/>
              <w:spacing w:after="0" w:line="132"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1"/>
                <w:szCs w:val="11"/>
                <w:color w:val="auto"/>
              </w:rPr>
            </w:pPr>
          </w:p>
        </w:tc>
        <w:tc>
          <w:tcPr>
            <w:tcW w:w="35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 by sales channel:</w:t>
            </w: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320"/>
              <w:spacing w:after="0" w:line="161" w:lineRule="exact"/>
              <w:rPr>
                <w:sz w:val="20"/>
                <w:szCs w:val="20"/>
                <w:color w:val="auto"/>
              </w:rPr>
            </w:pPr>
            <w:r>
              <w:rPr>
                <w:rFonts w:ascii="Arial" w:cs="Arial" w:eastAsia="Arial" w:hAnsi="Arial"/>
                <w:sz w:val="16"/>
                <w:szCs w:val="16"/>
                <w:color w:val="auto"/>
              </w:rPr>
              <w:t>Indirect</w:t>
            </w:r>
          </w:p>
        </w:tc>
        <w:tc>
          <w:tcPr>
            <w:tcW w:w="16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2,282.2</w:t>
            </w:r>
          </w:p>
        </w:tc>
        <w:tc>
          <w:tcPr>
            <w:tcW w:w="100" w:type="dxa"/>
            <w:vAlign w:val="bottom"/>
          </w:tcPr>
          <w:p>
            <w:pPr>
              <w:spacing w:after="0"/>
              <w:rPr>
                <w:sz w:val="14"/>
                <w:szCs w:val="14"/>
                <w:color w:val="auto"/>
              </w:rPr>
            </w:pPr>
          </w:p>
        </w:tc>
        <w:tc>
          <w:tcPr>
            <w:tcW w:w="220" w:type="dxa"/>
            <w:vAlign w:val="bottom"/>
          </w:tcPr>
          <w:p>
            <w:pPr>
              <w:jc w:val="right"/>
              <w:ind w:right="44"/>
              <w:spacing w:after="0" w:line="161"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1" w:lineRule="exact"/>
              <w:rPr>
                <w:sz w:val="20"/>
                <w:szCs w:val="20"/>
                <w:color w:val="auto"/>
              </w:rPr>
            </w:pPr>
            <w:r>
              <w:rPr>
                <w:rFonts w:ascii="Arial" w:cs="Arial" w:eastAsia="Arial" w:hAnsi="Arial"/>
                <w:sz w:val="16"/>
                <w:szCs w:val="16"/>
                <w:color w:val="auto"/>
              </w:rPr>
              <w:t>451.4</w:t>
            </w:r>
          </w:p>
        </w:tc>
        <w:tc>
          <w:tcPr>
            <w:tcW w:w="1200" w:type="dxa"/>
            <w:vAlign w:val="bottom"/>
            <w:gridSpan w:val="3"/>
          </w:tcPr>
          <w:p>
            <w:pPr>
              <w:jc w:val="right"/>
              <w:ind w:right="20"/>
              <w:spacing w:after="0" w:line="161" w:lineRule="exact"/>
              <w:rPr>
                <w:sz w:val="20"/>
                <w:szCs w:val="20"/>
                <w:color w:val="auto"/>
              </w:rPr>
            </w:pPr>
            <w:r>
              <w:rPr>
                <w:rFonts w:ascii="Arial" w:cs="Arial" w:eastAsia="Arial" w:hAnsi="Arial"/>
                <w:sz w:val="16"/>
                <w:szCs w:val="16"/>
                <w:color w:val="auto"/>
              </w:rPr>
              <w:t>25 %</w:t>
            </w:r>
          </w:p>
        </w:tc>
        <w:tc>
          <w:tcPr>
            <w:tcW w:w="120" w:type="dxa"/>
            <w:vAlign w:val="bottom"/>
          </w:tcPr>
          <w:p>
            <w:pPr>
              <w:spacing w:after="0"/>
              <w:rPr>
                <w:sz w:val="14"/>
                <w:szCs w:val="14"/>
                <w:color w:val="auto"/>
              </w:rPr>
            </w:pPr>
          </w:p>
        </w:tc>
        <w:tc>
          <w:tcPr>
            <w:tcW w:w="80" w:type="dxa"/>
            <w:vAlign w:val="bottom"/>
          </w:tcPr>
          <w:p>
            <w:pPr>
              <w:jc w:val="right"/>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1,830.8</w:t>
            </w:r>
          </w:p>
        </w:tc>
        <w:tc>
          <w:tcPr>
            <w:tcW w:w="100" w:type="dxa"/>
            <w:vAlign w:val="bottom"/>
          </w:tcPr>
          <w:p>
            <w:pPr>
              <w:spacing w:after="0"/>
              <w:rPr>
                <w:sz w:val="14"/>
                <w:szCs w:val="14"/>
                <w:color w:val="auto"/>
              </w:rPr>
            </w:pPr>
          </w:p>
        </w:tc>
        <w:tc>
          <w:tcPr>
            <w:tcW w:w="3560" w:type="dxa"/>
            <w:vAlign w:val="bottom"/>
          </w:tcPr>
          <w:p>
            <w:pPr>
              <w:ind w:left="20"/>
              <w:spacing w:after="0" w:line="161" w:lineRule="exact"/>
              <w:rPr>
                <w:sz w:val="20"/>
                <w:szCs w:val="20"/>
                <w:color w:val="auto"/>
              </w:rPr>
            </w:pPr>
            <w:r>
              <w:rPr>
                <w:rFonts w:ascii="Arial" w:cs="Arial" w:eastAsia="Arial" w:hAnsi="Arial"/>
                <w:sz w:val="16"/>
                <w:szCs w:val="16"/>
                <w:color w:val="auto"/>
                <w:w w:val="93"/>
              </w:rPr>
              <w:t>Increase due to growth in subscription revenue offset</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line="158" w:lineRule="exact"/>
              <w:rPr>
                <w:sz w:val="20"/>
                <w:szCs w:val="20"/>
                <w:color w:val="auto"/>
              </w:rPr>
            </w:pPr>
            <w:r>
              <w:rPr>
                <w:rFonts w:ascii="Arial" w:cs="Arial" w:eastAsia="Arial" w:hAnsi="Arial"/>
                <w:sz w:val="16"/>
                <w:szCs w:val="16"/>
                <w:color w:val="auto"/>
              </w:rPr>
              <w:t>by lower maintenance plan subscriptions as we</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line="158" w:lineRule="exact"/>
              <w:rPr>
                <w:sz w:val="20"/>
                <w:szCs w:val="20"/>
                <w:color w:val="auto"/>
              </w:rPr>
            </w:pPr>
            <w:r>
              <w:rPr>
                <w:rFonts w:ascii="Arial" w:cs="Arial" w:eastAsia="Arial" w:hAnsi="Arial"/>
                <w:sz w:val="16"/>
                <w:szCs w:val="16"/>
                <w:color w:val="auto"/>
                <w:w w:val="90"/>
              </w:rPr>
              <w:t>continue to migrate customers to subscriptions through</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the M2S program.</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Direct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992.1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253.1</w:t>
            </w:r>
          </w:p>
        </w:tc>
        <w:tc>
          <w:tcPr>
            <w:tcW w:w="120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739.0</w:t>
            </w:r>
          </w:p>
        </w:tc>
        <w:tc>
          <w:tcPr>
            <w:tcW w:w="100" w:type="dxa"/>
            <w:vAlign w:val="bottom"/>
            <w:shd w:val="clear" w:color="auto" w:fill="CCEEFF"/>
          </w:tcPr>
          <w:p>
            <w:pPr>
              <w:spacing w:after="0"/>
              <w:rPr>
                <w:sz w:val="14"/>
                <w:szCs w:val="14"/>
                <w:color w:val="auto"/>
              </w:rPr>
            </w:pPr>
          </w:p>
        </w:tc>
        <w:tc>
          <w:tcPr>
            <w:tcW w:w="35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Increase due to growth in revenue from our</w:t>
            </w:r>
          </w:p>
        </w:tc>
        <w:tc>
          <w:tcPr>
            <w:tcW w:w="0" w:type="dxa"/>
            <w:vAlign w:val="bottom"/>
          </w:tcPr>
          <w:p>
            <w:pPr>
              <w:spacing w:after="0"/>
              <w:rPr>
                <w:sz w:val="1"/>
                <w:szCs w:val="1"/>
                <w:color w:val="auto"/>
              </w:rPr>
            </w:pPr>
          </w:p>
        </w:tc>
      </w:tr>
      <w:tr>
        <w:trPr>
          <w:trHeight w:val="158"/>
        </w:trPr>
        <w:tc>
          <w:tcPr>
            <w:tcW w:w="3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6"/>
              </w:rPr>
              <w:t>acquisitions in the fourth quarter of fiscal year 2019,</w:t>
            </w: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and our online Autodesk branded store.</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20"/>
                <w:szCs w:val="20"/>
                <w:color w:val="auto"/>
              </w:rPr>
            </w:pPr>
            <w:r>
              <w:rPr>
                <w:rFonts w:ascii="Arial" w:cs="Arial" w:eastAsia="Arial" w:hAnsi="Arial"/>
                <w:sz w:val="16"/>
                <w:szCs w:val="16"/>
                <w:color w:val="auto"/>
              </w:rPr>
              <w:t>Total net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3,274.3</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704.5</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Product Type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 compared to</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Pr>
          <w:p>
            <w:pPr>
              <w:spacing w:after="0"/>
              <w:rPr>
                <w:sz w:val="15"/>
                <w:szCs w:val="15"/>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prior fiscal year</w:t>
            </w:r>
          </w:p>
        </w:tc>
        <w:tc>
          <w:tcPr>
            <w:tcW w:w="140" w:type="dxa"/>
            <w:vAlign w:val="bottom"/>
          </w:tcPr>
          <w:p>
            <w:pPr>
              <w:spacing w:after="0"/>
              <w:rPr>
                <w:sz w:val="15"/>
                <w:szCs w:val="15"/>
                <w:color w:val="auto"/>
              </w:rPr>
            </w:pPr>
          </w:p>
        </w:tc>
        <w:tc>
          <w:tcPr>
            <w:tcW w:w="12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2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January 31, 2021</w:t>
            </w: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January 31, 2020</w:t>
            </w:r>
          </w:p>
        </w:tc>
        <w:tc>
          <w:tcPr>
            <w:tcW w:w="10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500"/>
              <w:spacing w:after="0" w:line="171" w:lineRule="exact"/>
              <w:rPr>
                <w:sz w:val="20"/>
                <w:szCs w:val="20"/>
                <w:color w:val="auto"/>
              </w:rPr>
            </w:pPr>
            <w:r>
              <w:rPr>
                <w:rFonts w:ascii="Arial" w:cs="Arial" w:eastAsia="Arial" w:hAnsi="Arial"/>
                <w:sz w:val="16"/>
                <w:szCs w:val="16"/>
                <w:color w:val="auto"/>
              </w:rPr>
              <w:t>Design</w:t>
            </w:r>
          </w:p>
        </w:tc>
        <w:tc>
          <w:tcPr>
            <w:tcW w:w="140" w:type="dxa"/>
            <w:vAlign w:val="bottom"/>
          </w:tcPr>
          <w:p>
            <w:pPr>
              <w:ind w:left="20"/>
              <w:spacing w:after="0" w:line="171"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71" w:lineRule="exact"/>
              <w:rPr>
                <w:sz w:val="20"/>
                <w:szCs w:val="20"/>
                <w:color w:val="auto"/>
              </w:rPr>
            </w:pPr>
            <w:r>
              <w:rPr>
                <w:rFonts w:ascii="Arial" w:cs="Arial" w:eastAsia="Arial" w:hAnsi="Arial"/>
                <w:sz w:val="18"/>
                <w:szCs w:val="18"/>
                <w:color w:val="auto"/>
              </w:rPr>
              <w:t>3,365.8</w:t>
            </w:r>
          </w:p>
        </w:tc>
        <w:tc>
          <w:tcPr>
            <w:tcW w:w="100" w:type="dxa"/>
            <w:vAlign w:val="bottom"/>
          </w:tcPr>
          <w:p>
            <w:pPr>
              <w:spacing w:after="0"/>
              <w:rPr>
                <w:sz w:val="14"/>
                <w:szCs w:val="14"/>
                <w:color w:val="auto"/>
              </w:rPr>
            </w:pPr>
          </w:p>
        </w:tc>
        <w:tc>
          <w:tcPr>
            <w:tcW w:w="200" w:type="dxa"/>
            <w:vAlign w:val="bottom"/>
          </w:tcPr>
          <w:p>
            <w:pPr>
              <w:jc w:val="right"/>
              <w:ind w:right="21"/>
              <w:spacing w:after="0" w:line="171"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1" w:lineRule="exact"/>
              <w:rPr>
                <w:sz w:val="20"/>
                <w:szCs w:val="20"/>
                <w:color w:val="auto"/>
              </w:rPr>
            </w:pPr>
            <w:r>
              <w:rPr>
                <w:rFonts w:ascii="Arial" w:cs="Arial" w:eastAsia="Arial" w:hAnsi="Arial"/>
                <w:sz w:val="16"/>
                <w:szCs w:val="16"/>
                <w:color w:val="auto"/>
              </w:rPr>
              <w:t>445.7</w:t>
            </w:r>
          </w:p>
        </w:tc>
        <w:tc>
          <w:tcPr>
            <w:tcW w:w="1140" w:type="dxa"/>
            <w:vAlign w:val="bottom"/>
            <w:gridSpan w:val="2"/>
          </w:tcPr>
          <w:p>
            <w:pPr>
              <w:jc w:val="right"/>
              <w:ind w:right="20"/>
              <w:spacing w:after="0" w:line="171" w:lineRule="exact"/>
              <w:rPr>
                <w:sz w:val="20"/>
                <w:szCs w:val="20"/>
                <w:color w:val="auto"/>
              </w:rPr>
            </w:pPr>
            <w:r>
              <w:rPr>
                <w:rFonts w:ascii="Arial" w:cs="Arial" w:eastAsia="Arial" w:hAnsi="Arial"/>
                <w:sz w:val="16"/>
                <w:szCs w:val="16"/>
                <w:color w:val="auto"/>
              </w:rPr>
              <w:t>15 %</w:t>
            </w:r>
          </w:p>
        </w:tc>
        <w:tc>
          <w:tcPr>
            <w:tcW w:w="100" w:type="dxa"/>
            <w:vAlign w:val="bottom"/>
          </w:tcPr>
          <w:p>
            <w:pPr>
              <w:spacing w:after="0"/>
              <w:rPr>
                <w:sz w:val="14"/>
                <w:szCs w:val="14"/>
                <w:color w:val="auto"/>
              </w:rPr>
            </w:pPr>
          </w:p>
        </w:tc>
        <w:tc>
          <w:tcPr>
            <w:tcW w:w="140" w:type="dxa"/>
            <w:vAlign w:val="bottom"/>
          </w:tcPr>
          <w:p>
            <w:pPr>
              <w:ind w:left="20"/>
              <w:spacing w:after="0" w:line="171"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71" w:lineRule="exact"/>
              <w:rPr>
                <w:sz w:val="20"/>
                <w:szCs w:val="20"/>
                <w:color w:val="auto"/>
              </w:rPr>
            </w:pPr>
            <w:r>
              <w:rPr>
                <w:rFonts w:ascii="Arial" w:cs="Arial" w:eastAsia="Arial" w:hAnsi="Arial"/>
                <w:sz w:val="18"/>
                <w:szCs w:val="18"/>
                <w:color w:val="auto"/>
              </w:rPr>
              <w:t>2,920.1</w:t>
            </w:r>
          </w:p>
        </w:tc>
        <w:tc>
          <w:tcPr>
            <w:tcW w:w="100" w:type="dxa"/>
            <w:vAlign w:val="bottom"/>
          </w:tcPr>
          <w:p>
            <w:pPr>
              <w:spacing w:after="0"/>
              <w:rPr>
                <w:sz w:val="14"/>
                <w:szCs w:val="14"/>
                <w:color w:val="auto"/>
              </w:rPr>
            </w:pPr>
          </w:p>
        </w:tc>
        <w:tc>
          <w:tcPr>
            <w:tcW w:w="3220" w:type="dxa"/>
            <w:vAlign w:val="bottom"/>
          </w:tcPr>
          <w:p>
            <w:pPr>
              <w:spacing w:after="0" w:line="171" w:lineRule="exact"/>
              <w:rPr>
                <w:sz w:val="20"/>
                <w:szCs w:val="20"/>
                <w:color w:val="auto"/>
              </w:rPr>
            </w:pPr>
            <w:r>
              <w:rPr>
                <w:rFonts w:ascii="Arial" w:cs="Arial" w:eastAsia="Arial" w:hAnsi="Arial"/>
                <w:sz w:val="16"/>
                <w:szCs w:val="16"/>
                <w:color w:val="auto"/>
              </w:rPr>
              <w:t>Increase is due to growth in AEC &amp; MFG</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line="148" w:lineRule="exact"/>
              <w:rPr>
                <w:sz w:val="20"/>
                <w:szCs w:val="20"/>
                <w:color w:val="auto"/>
              </w:rPr>
            </w:pPr>
            <w:r>
              <w:rPr>
                <w:rFonts w:ascii="Arial" w:cs="Arial" w:eastAsia="Arial" w:hAnsi="Arial"/>
                <w:sz w:val="16"/>
                <w:szCs w:val="16"/>
                <w:color w:val="auto"/>
                <w:w w:val="95"/>
              </w:rPr>
              <w:t>collections, AutoCAD Family, AutoCAD LT, and</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EBA offerings.</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500"/>
              <w:spacing w:after="0" w:line="175" w:lineRule="exact"/>
              <w:rPr>
                <w:sz w:val="20"/>
                <w:szCs w:val="20"/>
                <w:color w:val="auto"/>
              </w:rPr>
            </w:pPr>
            <w:r>
              <w:rPr>
                <w:rFonts w:ascii="Arial" w:cs="Arial" w:eastAsia="Arial" w:hAnsi="Arial"/>
                <w:sz w:val="16"/>
                <w:szCs w:val="16"/>
                <w:color w:val="auto"/>
              </w:rPr>
              <w:t>Make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78.0</w:t>
            </w:r>
          </w:p>
        </w:tc>
        <w:tc>
          <w:tcPr>
            <w:tcW w:w="1140" w:type="dxa"/>
            <w:vAlign w:val="bottom"/>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3"/>
              </w:rPr>
              <w:t>Increase primarily due to growth in revenue from</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BIM Family, Plangrid, and Fusion products.</w:t>
            </w:r>
          </w:p>
        </w:tc>
        <w:tc>
          <w:tcPr>
            <w:tcW w:w="0" w:type="dxa"/>
            <w:vAlign w:val="bottom"/>
          </w:tcPr>
          <w:p>
            <w:pPr>
              <w:spacing w:after="0"/>
              <w:rPr>
                <w:sz w:val="1"/>
                <w:szCs w:val="1"/>
                <w:color w:val="auto"/>
              </w:rPr>
            </w:pPr>
          </w:p>
        </w:tc>
      </w:tr>
      <w:tr>
        <w:trPr>
          <w:trHeight w:val="208"/>
        </w:trPr>
        <w:tc>
          <w:tcPr>
            <w:tcW w:w="29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1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 compared to</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Pr>
          <w:p>
            <w:pPr>
              <w:spacing w:after="0"/>
              <w:rPr>
                <w:sz w:val="15"/>
                <w:szCs w:val="15"/>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prior fiscal year</w:t>
            </w:r>
          </w:p>
        </w:tc>
        <w:tc>
          <w:tcPr>
            <w:tcW w:w="140" w:type="dxa"/>
            <w:vAlign w:val="bottom"/>
          </w:tcPr>
          <w:p>
            <w:pPr>
              <w:spacing w:after="0"/>
              <w:rPr>
                <w:sz w:val="15"/>
                <w:szCs w:val="15"/>
                <w:color w:val="auto"/>
              </w:rPr>
            </w:pPr>
          </w:p>
        </w:tc>
        <w:tc>
          <w:tcPr>
            <w:tcW w:w="12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2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January 31, 2020</w:t>
            </w: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January 31, 2019</w:t>
            </w:r>
          </w:p>
        </w:tc>
        <w:tc>
          <w:tcPr>
            <w:tcW w:w="10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500"/>
              <w:spacing w:after="0" w:line="171" w:lineRule="exact"/>
              <w:rPr>
                <w:sz w:val="20"/>
                <w:szCs w:val="20"/>
                <w:color w:val="auto"/>
              </w:rPr>
            </w:pPr>
            <w:r>
              <w:rPr>
                <w:rFonts w:ascii="Arial" w:cs="Arial" w:eastAsia="Arial" w:hAnsi="Arial"/>
                <w:sz w:val="16"/>
                <w:szCs w:val="16"/>
                <w:color w:val="auto"/>
              </w:rPr>
              <w:t>Design</w:t>
            </w:r>
          </w:p>
        </w:tc>
        <w:tc>
          <w:tcPr>
            <w:tcW w:w="140" w:type="dxa"/>
            <w:vAlign w:val="bottom"/>
          </w:tcPr>
          <w:p>
            <w:pPr>
              <w:ind w:left="20"/>
              <w:spacing w:after="0" w:line="171"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71" w:lineRule="exact"/>
              <w:rPr>
                <w:sz w:val="20"/>
                <w:szCs w:val="20"/>
                <w:color w:val="auto"/>
              </w:rPr>
            </w:pPr>
            <w:r>
              <w:rPr>
                <w:rFonts w:ascii="Arial" w:cs="Arial" w:eastAsia="Arial" w:hAnsi="Arial"/>
                <w:sz w:val="18"/>
                <w:szCs w:val="18"/>
                <w:color w:val="auto"/>
              </w:rPr>
              <w:t>2,920.1</w:t>
            </w:r>
          </w:p>
        </w:tc>
        <w:tc>
          <w:tcPr>
            <w:tcW w:w="100" w:type="dxa"/>
            <w:vAlign w:val="bottom"/>
          </w:tcPr>
          <w:p>
            <w:pPr>
              <w:spacing w:after="0"/>
              <w:rPr>
                <w:sz w:val="14"/>
                <w:szCs w:val="14"/>
                <w:color w:val="auto"/>
              </w:rPr>
            </w:pPr>
          </w:p>
        </w:tc>
        <w:tc>
          <w:tcPr>
            <w:tcW w:w="200" w:type="dxa"/>
            <w:vAlign w:val="bottom"/>
          </w:tcPr>
          <w:p>
            <w:pPr>
              <w:jc w:val="right"/>
              <w:ind w:right="21"/>
              <w:spacing w:after="0" w:line="171"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1" w:lineRule="exact"/>
              <w:rPr>
                <w:sz w:val="20"/>
                <w:szCs w:val="20"/>
                <w:color w:val="auto"/>
              </w:rPr>
            </w:pPr>
            <w:r>
              <w:rPr>
                <w:rFonts w:ascii="Arial" w:cs="Arial" w:eastAsia="Arial" w:hAnsi="Arial"/>
                <w:sz w:val="16"/>
                <w:szCs w:val="16"/>
                <w:color w:val="auto"/>
              </w:rPr>
              <w:t>572.3</w:t>
            </w:r>
          </w:p>
        </w:tc>
        <w:tc>
          <w:tcPr>
            <w:tcW w:w="1140" w:type="dxa"/>
            <w:vAlign w:val="bottom"/>
            <w:gridSpan w:val="2"/>
          </w:tcPr>
          <w:p>
            <w:pPr>
              <w:jc w:val="right"/>
              <w:ind w:right="20"/>
              <w:spacing w:after="0" w:line="171" w:lineRule="exact"/>
              <w:rPr>
                <w:sz w:val="20"/>
                <w:szCs w:val="20"/>
                <w:color w:val="auto"/>
              </w:rPr>
            </w:pPr>
            <w:r>
              <w:rPr>
                <w:rFonts w:ascii="Arial" w:cs="Arial" w:eastAsia="Arial" w:hAnsi="Arial"/>
                <w:sz w:val="16"/>
                <w:szCs w:val="16"/>
                <w:color w:val="auto"/>
              </w:rPr>
              <w:t>24 %</w:t>
            </w:r>
          </w:p>
        </w:tc>
        <w:tc>
          <w:tcPr>
            <w:tcW w:w="100" w:type="dxa"/>
            <w:vAlign w:val="bottom"/>
          </w:tcPr>
          <w:p>
            <w:pPr>
              <w:spacing w:after="0"/>
              <w:rPr>
                <w:sz w:val="14"/>
                <w:szCs w:val="14"/>
                <w:color w:val="auto"/>
              </w:rPr>
            </w:pPr>
          </w:p>
        </w:tc>
        <w:tc>
          <w:tcPr>
            <w:tcW w:w="140" w:type="dxa"/>
            <w:vAlign w:val="bottom"/>
          </w:tcPr>
          <w:p>
            <w:pPr>
              <w:ind w:left="20"/>
              <w:spacing w:after="0" w:line="171"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71" w:lineRule="exact"/>
              <w:rPr>
                <w:sz w:val="20"/>
                <w:szCs w:val="20"/>
                <w:color w:val="auto"/>
              </w:rPr>
            </w:pPr>
            <w:r>
              <w:rPr>
                <w:rFonts w:ascii="Arial" w:cs="Arial" w:eastAsia="Arial" w:hAnsi="Arial"/>
                <w:sz w:val="18"/>
                <w:szCs w:val="18"/>
                <w:color w:val="auto"/>
              </w:rPr>
              <w:t>2,347.8</w:t>
            </w:r>
          </w:p>
        </w:tc>
        <w:tc>
          <w:tcPr>
            <w:tcW w:w="100" w:type="dxa"/>
            <w:vAlign w:val="bottom"/>
          </w:tcPr>
          <w:p>
            <w:pPr>
              <w:spacing w:after="0"/>
              <w:rPr>
                <w:sz w:val="14"/>
                <w:szCs w:val="14"/>
                <w:color w:val="auto"/>
              </w:rPr>
            </w:pPr>
          </w:p>
        </w:tc>
        <w:tc>
          <w:tcPr>
            <w:tcW w:w="3220" w:type="dxa"/>
            <w:vAlign w:val="bottom"/>
          </w:tcPr>
          <w:p>
            <w:pPr>
              <w:spacing w:after="0" w:line="171" w:lineRule="exact"/>
              <w:rPr>
                <w:sz w:val="20"/>
                <w:szCs w:val="20"/>
                <w:color w:val="auto"/>
              </w:rPr>
            </w:pPr>
            <w:r>
              <w:rPr>
                <w:rFonts w:ascii="Arial" w:cs="Arial" w:eastAsia="Arial" w:hAnsi="Arial"/>
                <w:sz w:val="16"/>
                <w:szCs w:val="16"/>
                <w:color w:val="auto"/>
              </w:rPr>
              <w:t>Increase is due to growth in AEC &amp; MFG</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line="148" w:lineRule="exact"/>
              <w:rPr>
                <w:sz w:val="20"/>
                <w:szCs w:val="20"/>
                <w:color w:val="auto"/>
              </w:rPr>
            </w:pPr>
            <w:r>
              <w:rPr>
                <w:rFonts w:ascii="Arial" w:cs="Arial" w:eastAsia="Arial" w:hAnsi="Arial"/>
                <w:sz w:val="16"/>
                <w:szCs w:val="16"/>
                <w:color w:val="auto"/>
                <w:w w:val="95"/>
              </w:rPr>
              <w:t>collections, AutoCAD Family, AutoCAD LT, and</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EBA offerings.</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500"/>
              <w:spacing w:after="0" w:line="175" w:lineRule="exact"/>
              <w:rPr>
                <w:sz w:val="20"/>
                <w:szCs w:val="20"/>
                <w:color w:val="auto"/>
              </w:rPr>
            </w:pPr>
            <w:r>
              <w:rPr>
                <w:rFonts w:ascii="Arial" w:cs="Arial" w:eastAsia="Arial" w:hAnsi="Arial"/>
                <w:sz w:val="16"/>
                <w:szCs w:val="16"/>
                <w:color w:val="auto"/>
              </w:rPr>
              <w:t>Make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128.8</w:t>
            </w:r>
          </w:p>
        </w:tc>
        <w:tc>
          <w:tcPr>
            <w:tcW w:w="1140" w:type="dxa"/>
            <w:vAlign w:val="bottom"/>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3"/>
              </w:rPr>
              <w:t>Increase primarily due to growth in revenue from</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BIM Family, Plangrid, and Fusion products.</w:t>
            </w:r>
          </w:p>
        </w:tc>
        <w:tc>
          <w:tcPr>
            <w:tcW w:w="0" w:type="dxa"/>
            <w:vAlign w:val="bottom"/>
          </w:tcPr>
          <w:p>
            <w:pPr>
              <w:spacing w:after="0"/>
              <w:rPr>
                <w:sz w:val="1"/>
                <w:szCs w:val="1"/>
                <w:color w:val="auto"/>
              </w:rPr>
            </w:pPr>
          </w:p>
        </w:tc>
      </w:tr>
      <w:tr>
        <w:trPr>
          <w:trHeight w:val="224"/>
        </w:trPr>
        <w:tc>
          <w:tcPr>
            <w:tcW w:w="29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1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 of Revenue and Operating Expenses</w:t>
      </w:r>
    </w:p>
    <w:p>
      <w:pPr>
        <w:spacing w:after="0" w:line="241" w:lineRule="exact"/>
        <w:rPr>
          <w:sz w:val="20"/>
          <w:szCs w:val="20"/>
          <w:color w:val="auto"/>
        </w:rPr>
      </w:pPr>
    </w:p>
    <w:p>
      <w:pPr>
        <w:ind w:right="360" w:firstLine="396"/>
        <w:spacing w:after="0" w:line="292" w:lineRule="auto"/>
        <w:rPr>
          <w:sz w:val="20"/>
          <w:szCs w:val="20"/>
          <w:color w:val="auto"/>
        </w:rPr>
      </w:pPr>
      <w:r>
        <w:rPr>
          <w:rFonts w:ascii="Arial" w:cs="Arial" w:eastAsia="Arial" w:hAnsi="Arial"/>
          <w:sz w:val="16"/>
          <w:szCs w:val="16"/>
          <w:color w:val="auto"/>
        </w:rPr>
        <w:t>Cost of subscription and maintenance revenue includes the labor costs of providing product support to our subscription and maintenance customers, including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186" w:lineRule="exact"/>
        <w:rPr>
          <w:sz w:val="20"/>
          <w:szCs w:val="20"/>
          <w:color w:val="auto"/>
        </w:rPr>
      </w:pPr>
    </w:p>
    <w:p>
      <w:pPr>
        <w:jc w:val="both"/>
        <w:ind w:right="280" w:firstLine="435"/>
        <w:spacing w:after="0" w:line="253"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16" w:lineRule="exact"/>
        <w:rPr>
          <w:sz w:val="20"/>
          <w:szCs w:val="20"/>
          <w:color w:val="auto"/>
        </w:rPr>
      </w:pPr>
    </w:p>
    <w:p>
      <w:pPr>
        <w:ind w:right="60" w:firstLine="435"/>
        <w:spacing w:after="0" w:line="300" w:lineRule="auto"/>
        <w:rPr>
          <w:sz w:val="20"/>
          <w:szCs w:val="20"/>
          <w:color w:val="auto"/>
        </w:rPr>
      </w:pPr>
      <w:r>
        <w:rPr>
          <w:rFonts w:ascii="Arial" w:cs="Arial" w:eastAsia="Arial" w:hAnsi="Arial"/>
          <w:sz w:val="16"/>
          <w:szCs w:val="16"/>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81"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firstLine="435"/>
        <w:spacing w:after="0" w:line="250"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9" w:lineRule="exact"/>
        <w:rPr>
          <w:sz w:val="20"/>
          <w:szCs w:val="20"/>
          <w:color w:val="auto"/>
        </w:rPr>
      </w:pPr>
    </w:p>
    <w:p>
      <w:pPr>
        <w:ind w:right="100" w:firstLine="435"/>
        <w:spacing w:after="0" w:line="250"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Change compared to prior fiscal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6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Ended January</w:t>
            </w:r>
          </w:p>
        </w:tc>
        <w:tc>
          <w:tcPr>
            <w:tcW w:w="220" w:type="dxa"/>
            <w:vAlign w:val="bottom"/>
          </w:tcPr>
          <w:p>
            <w:pPr>
              <w:spacing w:after="0"/>
              <w:rPr>
                <w:sz w:val="9"/>
                <w:szCs w:val="9"/>
                <w:color w:val="auto"/>
              </w:rPr>
            </w:pPr>
          </w:p>
        </w:tc>
        <w:tc>
          <w:tcPr>
            <w:tcW w:w="70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960" w:type="dxa"/>
            <w:vAlign w:val="bottom"/>
            <w:gridSpan w:val="2"/>
          </w:tcPr>
          <w:p>
            <w:pPr>
              <w:ind w:left="20"/>
              <w:spacing w:after="0" w:line="112" w:lineRule="exact"/>
              <w:rPr>
                <w:sz w:val="20"/>
                <w:szCs w:val="20"/>
                <w:color w:val="auto"/>
              </w:rPr>
            </w:pPr>
            <w:r>
              <w:rPr>
                <w:rFonts w:ascii="Arial" w:cs="Arial" w:eastAsia="Arial" w:hAnsi="Arial"/>
                <w:sz w:val="12"/>
                <w:szCs w:val="12"/>
                <w:b w:val="1"/>
                <w:bCs w:val="1"/>
                <w:color w:val="auto"/>
              </w:rPr>
              <w:t>Ended January</w:t>
            </w:r>
          </w:p>
        </w:tc>
        <w:tc>
          <w:tcPr>
            <w:tcW w:w="120" w:type="dxa"/>
            <w:vAlign w:val="bottom"/>
          </w:tcPr>
          <w:p>
            <w:pPr>
              <w:spacing w:after="0"/>
              <w:rPr>
                <w:sz w:val="9"/>
                <w:szCs w:val="9"/>
                <w:color w:val="auto"/>
              </w:rPr>
            </w:pPr>
          </w:p>
        </w:tc>
        <w:tc>
          <w:tcPr>
            <w:tcW w:w="438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31, 2020</w:t>
            </w:r>
          </w:p>
        </w:tc>
        <w:tc>
          <w:tcPr>
            <w:tcW w:w="12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Subscription and maintenance</w:t>
            </w:r>
          </w:p>
        </w:tc>
        <w:tc>
          <w:tcPr>
            <w:tcW w:w="1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242.1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2"/>
              </w:rPr>
              <w:t>Increase primarily due to an increase in cloud hosting costs as well</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as an increase in stock-based compensation expense.</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64.1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66.5</w:t>
            </w: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3"/>
              </w:rPr>
              <w:t>Decrease primarily due to lower travel and entertainment expense</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4"/>
              </w:rPr>
              <w:t>partially offset by an increase in employee-related costs driven by</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higher headcount.</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Decrease primarily due to previously acquired developed</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500"/>
              <w:spacing w:after="0" w:line="158" w:lineRule="exact"/>
              <w:rPr>
                <w:sz w:val="20"/>
                <w:szCs w:val="20"/>
                <w:color w:val="auto"/>
              </w:rPr>
            </w:pPr>
            <w:r>
              <w:rPr>
                <w:rFonts w:ascii="Arial" w:cs="Arial" w:eastAsia="Arial" w:hAnsi="Arial"/>
                <w:sz w:val="16"/>
                <w:szCs w:val="16"/>
                <w:color w:val="auto"/>
              </w:rPr>
              <w:t>technologies</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5"/>
              </w:rPr>
              <w:t>technologies continuing to become fully amortized partially offset</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w w:val="97"/>
              </w:rPr>
              <w:t>by amortization from recently acquired developed technologies.</w:t>
            </w:r>
          </w:p>
        </w:tc>
        <w:tc>
          <w:tcPr>
            <w:tcW w:w="0" w:type="dxa"/>
            <w:vAlign w:val="bottom"/>
          </w:tcPr>
          <w:p>
            <w:pPr>
              <w:spacing w:after="0"/>
              <w:rPr>
                <w:sz w:val="1"/>
                <w:szCs w:val="1"/>
                <w:color w:val="auto"/>
              </w:rPr>
            </w:pPr>
          </w:p>
        </w:tc>
      </w:tr>
      <w:tr>
        <w:trPr>
          <w:trHeight w:val="201"/>
        </w:trPr>
        <w:tc>
          <w:tcPr>
            <w:tcW w:w="2620" w:type="dxa"/>
            <w:vAlign w:val="bottom"/>
          </w:tcPr>
          <w:p>
            <w:pPr>
              <w:ind w:left="46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1,440.3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1,310.3</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3"/>
              </w:rPr>
              <w:t>Increase primarily due to increased employee-related costs driven</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7"/>
              </w:rPr>
              <w:t>by higher headcount, an increase in stock-based compensation</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0"/>
              </w:rPr>
              <w:t>expense, as well as an increase in SaaS vendor costs and allocated</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5"/>
              </w:rPr>
              <w:t>IT costs partially offset by a decrease in travel and entertainment</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932.5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
              <w:spacing w:after="0" w:line="161" w:lineRule="exact"/>
              <w:rPr>
                <w:sz w:val="20"/>
                <w:szCs w:val="20"/>
                <w:color w:val="auto"/>
              </w:rPr>
            </w:pPr>
            <w:r>
              <w:rPr>
                <w:rFonts w:ascii="Arial" w:cs="Arial" w:eastAsia="Arial" w:hAnsi="Arial"/>
                <w:sz w:val="16"/>
                <w:szCs w:val="16"/>
                <w:color w:val="auto"/>
              </w:rPr>
              <w:t>81.4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6"/>
                <w:szCs w:val="16"/>
                <w:color w:val="auto"/>
              </w:rPr>
              <w:t>10 %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851.1</w:t>
            </w: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3"/>
              </w:rPr>
              <w:t>Increase primarily due to increased employee-related costs driven</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7"/>
              </w:rPr>
              <w:t>by higher headcount, an increase in stock-based compensation</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0"/>
              </w:rPr>
              <w:t>expense, as well as an increase in SaaS vendor costs and allocated</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5"/>
              </w:rPr>
              <w:t>IT costs partially offset by a decrease in travel and entertainment</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expenses.</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413.9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405.6</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1"/>
              </w:rPr>
              <w:t>Increase primarily due to increase in employee related costs driven</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88"/>
              </w:rPr>
              <w:t>by higher headcount, as well as an increase in net SaaS vendor costs</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w w:val="89"/>
              </w:rPr>
              <w:t>partially offset by a decrease in stock-based compensation expense.</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38.9</w:t>
            </w: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1"/>
              </w:rPr>
              <w:t>Decrease as previously acquired purchased intangibles continue to</w:t>
            </w:r>
          </w:p>
        </w:tc>
        <w:tc>
          <w:tcPr>
            <w:tcW w:w="0" w:type="dxa"/>
            <w:vAlign w:val="bottom"/>
          </w:tcPr>
          <w:p>
            <w:pPr>
              <w:spacing w:after="0"/>
              <w:rPr>
                <w:sz w:val="1"/>
                <w:szCs w:val="1"/>
                <w:color w:val="auto"/>
              </w:rPr>
            </w:pPr>
          </w:p>
        </w:tc>
      </w:tr>
      <w:tr>
        <w:trPr>
          <w:trHeight w:val="158"/>
        </w:trPr>
        <w:tc>
          <w:tcPr>
            <w:tcW w:w="2620" w:type="dxa"/>
            <w:vAlign w:val="bottom"/>
          </w:tcPr>
          <w:p>
            <w:pPr>
              <w:ind w:left="500"/>
              <w:spacing w:after="0" w:line="158" w:lineRule="exact"/>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rPr>
              <w:t>become fully amortized partially offset by amortization from</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recently acquired purchased intangibles.</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500"/>
              <w:spacing w:after="0" w:line="165" w:lineRule="exact"/>
              <w:rPr>
                <w:sz w:val="20"/>
                <w:szCs w:val="20"/>
                <w:color w:val="auto"/>
              </w:rPr>
            </w:pPr>
            <w:r>
              <w:rPr>
                <w:rFonts w:ascii="Arial" w:cs="Arial" w:eastAsia="Arial" w:hAnsi="Arial"/>
                <w:sz w:val="16"/>
                <w:szCs w:val="16"/>
                <w:color w:val="auto"/>
              </w:rPr>
              <w:t>Restructuring and other exit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costs, net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2,824.2</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2,606.4</w:t>
            </w:r>
          </w:p>
        </w:tc>
        <w:tc>
          <w:tcPr>
            <w:tcW w:w="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Change compared to prior fiscal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6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Ended January</w:t>
            </w:r>
          </w:p>
        </w:tc>
        <w:tc>
          <w:tcPr>
            <w:tcW w:w="220" w:type="dxa"/>
            <w:vAlign w:val="bottom"/>
          </w:tcPr>
          <w:p>
            <w:pPr>
              <w:spacing w:after="0"/>
              <w:rPr>
                <w:sz w:val="9"/>
                <w:szCs w:val="9"/>
                <w:color w:val="auto"/>
              </w:rPr>
            </w:pPr>
          </w:p>
        </w:tc>
        <w:tc>
          <w:tcPr>
            <w:tcW w:w="70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960" w:type="dxa"/>
            <w:vAlign w:val="bottom"/>
            <w:gridSpan w:val="2"/>
          </w:tcPr>
          <w:p>
            <w:pPr>
              <w:ind w:left="20"/>
              <w:spacing w:after="0" w:line="112" w:lineRule="exact"/>
              <w:rPr>
                <w:sz w:val="20"/>
                <w:szCs w:val="20"/>
                <w:color w:val="auto"/>
              </w:rPr>
            </w:pPr>
            <w:r>
              <w:rPr>
                <w:rFonts w:ascii="Arial" w:cs="Arial" w:eastAsia="Arial" w:hAnsi="Arial"/>
                <w:sz w:val="12"/>
                <w:szCs w:val="12"/>
                <w:b w:val="1"/>
                <w:bCs w:val="1"/>
                <w:color w:val="auto"/>
              </w:rPr>
              <w:t>Ended January</w:t>
            </w:r>
          </w:p>
        </w:tc>
        <w:tc>
          <w:tcPr>
            <w:tcW w:w="120" w:type="dxa"/>
            <w:vAlign w:val="bottom"/>
          </w:tcPr>
          <w:p>
            <w:pPr>
              <w:spacing w:after="0"/>
              <w:rPr>
                <w:sz w:val="9"/>
                <w:szCs w:val="9"/>
                <w:color w:val="auto"/>
              </w:rPr>
            </w:pPr>
          </w:p>
        </w:tc>
        <w:tc>
          <w:tcPr>
            <w:tcW w:w="43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Subscription and maintenance</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0"/>
              </w:rPr>
              <w:t>Increase due to growth in cloud hosting and employee-related costs</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driven by higher headcount.</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7"/>
              </w:rPr>
              <w:t>Increase due to growth in employee-related costs due to higher</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9"/>
              </w:rPr>
              <w:t>Increase due to growth in amortization expense from acquired</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500"/>
              <w:spacing w:after="0" w:line="158" w:lineRule="exact"/>
              <w:rPr>
                <w:sz w:val="20"/>
                <w:szCs w:val="20"/>
                <w:color w:val="auto"/>
              </w:rPr>
            </w:pPr>
            <w:r>
              <w:rPr>
                <w:rFonts w:ascii="Arial" w:cs="Arial" w:eastAsia="Arial" w:hAnsi="Arial"/>
                <w:sz w:val="16"/>
                <w:szCs w:val="16"/>
                <w:color w:val="auto"/>
              </w:rPr>
              <w:t>technologies</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3"/>
              </w:rPr>
              <w:t>developed technologies as a result of our acquisitions in the fourth</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204"/>
        </w:trPr>
        <w:tc>
          <w:tcPr>
            <w:tcW w:w="2620" w:type="dxa"/>
            <w:vAlign w:val="bottom"/>
          </w:tcPr>
          <w:p>
            <w:pPr>
              <w:ind w:left="46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c>
          <w:tcPr>
            <w:tcW w:w="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3"/>
              </w:rPr>
              <w:t>Increase primarily due to increased employee-related costs driven</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rPr>
              <w:t>by higher headcount as well as an increase in stock-based</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1,310.3</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1,183.9</w:t>
            </w: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7"/>
              </w:rPr>
              <w:t>compensation expense driven by awards granted and assumed</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through our acquisitions in the fourth quarter of fiscal 2019.</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3"/>
              </w:rPr>
              <w:t>Increase due to growth in employee-related costs driven by higher</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7"/>
              </w:rPr>
              <w:t>headcount as well as an increase in stock-based compensation</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725.0</w:t>
            </w: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rPr>
              <w:t>expense driven by awards granted and assumed through our</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acquisitions in the fourth quarter of fiscal 2019.</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1"/>
              </w:rPr>
              <w:t>Increase primarily due to an increase in stock-based compensation</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rPr>
              <w:t>expense driven by awards granted and assumed through our</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1"/>
              </w:rPr>
              <w:t>acquisitions in the fourth quarter of fiscal 2019 as well as increased</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employee-related costs driven by higher headcount.</w:t>
            </w:r>
          </w:p>
        </w:tc>
        <w:tc>
          <w:tcPr>
            <w:tcW w:w="0" w:type="dxa"/>
            <w:vAlign w:val="bottom"/>
          </w:tcPr>
          <w:p>
            <w:pPr>
              <w:spacing w:after="0"/>
              <w:rPr>
                <w:sz w:val="1"/>
                <w:szCs w:val="1"/>
                <w:color w:val="auto"/>
              </w:rPr>
            </w:pPr>
          </w:p>
        </w:tc>
      </w:tr>
      <w:tr>
        <w:trPr>
          <w:trHeight w:val="162"/>
        </w:trPr>
        <w:tc>
          <w:tcPr>
            <w:tcW w:w="2620" w:type="dxa"/>
            <w:vAlign w:val="bottom"/>
          </w:tcPr>
          <w:p>
            <w:pPr>
              <w:ind w:left="340"/>
              <w:spacing w:after="0" w:line="161" w:lineRule="exact"/>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line="161" w:lineRule="exact"/>
              <w:rPr>
                <w:sz w:val="20"/>
                <w:szCs w:val="20"/>
                <w:color w:val="auto"/>
              </w:rPr>
            </w:pPr>
            <w:r>
              <w:rPr>
                <w:rFonts w:ascii="Arial" w:cs="Arial" w:eastAsia="Arial" w:hAnsi="Arial"/>
                <w:sz w:val="16"/>
                <w:szCs w:val="16"/>
                <w:color w:val="auto"/>
                <w:w w:val="99"/>
              </w:rPr>
              <w:t>Increase due to growth in amortization expense from acquired</w:t>
            </w:r>
          </w:p>
        </w:tc>
        <w:tc>
          <w:tcPr>
            <w:tcW w:w="0" w:type="dxa"/>
            <w:vAlign w:val="bottom"/>
          </w:tcPr>
          <w:p>
            <w:pPr>
              <w:spacing w:after="0"/>
              <w:rPr>
                <w:sz w:val="1"/>
                <w:szCs w:val="1"/>
                <w:color w:val="auto"/>
              </w:rPr>
            </w:pPr>
          </w:p>
        </w:tc>
      </w:tr>
      <w:tr>
        <w:trPr>
          <w:trHeight w:val="158"/>
        </w:trPr>
        <w:tc>
          <w:tcPr>
            <w:tcW w:w="2620" w:type="dxa"/>
            <w:vAlign w:val="bottom"/>
          </w:tcPr>
          <w:p>
            <w:pPr>
              <w:ind w:left="500"/>
              <w:spacing w:after="0" w:line="158" w:lineRule="exact"/>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3"/>
                <w:szCs w:val="13"/>
                <w:color w:val="auto"/>
              </w:rPr>
            </w:pPr>
          </w:p>
        </w:tc>
        <w:tc>
          <w:tcPr>
            <w:tcW w:w="4380" w:type="dxa"/>
            <w:vAlign w:val="bottom"/>
          </w:tcPr>
          <w:p>
            <w:pPr>
              <w:spacing w:after="0" w:line="158" w:lineRule="exact"/>
              <w:rPr>
                <w:sz w:val="20"/>
                <w:szCs w:val="20"/>
                <w:color w:val="auto"/>
              </w:rPr>
            </w:pPr>
            <w:r>
              <w:rPr>
                <w:rFonts w:ascii="Arial" w:cs="Arial" w:eastAsia="Arial" w:hAnsi="Arial"/>
                <w:sz w:val="16"/>
                <w:szCs w:val="16"/>
                <w:color w:val="auto"/>
                <w:w w:val="95"/>
              </w:rPr>
              <w:t>purchased intangibles as a result of our acquisitions in the fourth</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3"/>
              </w:rPr>
              <w:t>Restructuring and other exit costs,</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5"/>
              </w:rPr>
              <w:t>Decreased as we substantially completed the actions authorized</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under the fiscal 2018 restructuring plan.</w:t>
            </w:r>
          </w:p>
        </w:tc>
        <w:tc>
          <w:tcPr>
            <w:tcW w:w="0" w:type="dxa"/>
            <w:vAlign w:val="bottom"/>
          </w:tcPr>
          <w:p>
            <w:pPr>
              <w:spacing w:after="0"/>
              <w:rPr>
                <w:sz w:val="1"/>
                <w:szCs w:val="1"/>
                <w:color w:val="auto"/>
              </w:rPr>
            </w:pPr>
          </w:p>
        </w:tc>
      </w:tr>
      <w:tr>
        <w:trPr>
          <w:trHeight w:val="204"/>
        </w:trPr>
        <w:tc>
          <w:tcPr>
            <w:tcW w:w="262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2,606.4</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2,308.9</w:t>
            </w:r>
          </w:p>
        </w:tc>
        <w:tc>
          <w:tcPr>
            <w:tcW w:w="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highlights our expectation for the absolute dollar change and percent of revenue change for fiscal 2022 as compared to fiscal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6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Absolute dollar impact</w:t>
            </w:r>
          </w:p>
        </w:tc>
        <w:tc>
          <w:tcPr>
            <w:tcW w:w="1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 of net revenue impact</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3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4"/>
              </w:rPr>
              <w:t>Increase</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Marketing and sales</w:t>
            </w:r>
          </w:p>
        </w:tc>
        <w:tc>
          <w:tcPr>
            <w:tcW w:w="2320" w:type="dxa"/>
            <w:vAlign w:val="bottom"/>
            <w:gridSpan w:val="2"/>
          </w:tcPr>
          <w:p>
            <w:pPr>
              <w:jc w:val="center"/>
              <w:ind w:right="160"/>
              <w:spacing w:after="0"/>
              <w:rPr>
                <w:sz w:val="20"/>
                <w:szCs w:val="20"/>
                <w:color w:val="auto"/>
              </w:rPr>
            </w:pPr>
            <w:r>
              <w:rPr>
                <w:rFonts w:ascii="Arial" w:cs="Arial" w:eastAsia="Arial" w:hAnsi="Arial"/>
                <w:sz w:val="16"/>
                <w:szCs w:val="16"/>
                <w:color w:val="auto"/>
                <w:w w:val="84"/>
              </w:rPr>
              <w:t>Increase</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Flat</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3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4"/>
              </w:rPr>
              <w:t>Increase</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Increase</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Decrease</w:t>
            </w:r>
          </w:p>
        </w:tc>
        <w:tc>
          <w:tcPr>
            <w:tcW w:w="2200" w:type="dxa"/>
            <w:vAlign w:val="bottom"/>
          </w:tcPr>
          <w:p>
            <w:pPr>
              <w:jc w:val="center"/>
              <w:spacing w:after="0"/>
              <w:rPr>
                <w:sz w:val="20"/>
                <w:szCs w:val="20"/>
                <w:color w:val="auto"/>
              </w:rPr>
            </w:pPr>
            <w:r>
              <w:rPr>
                <w:rFonts w:ascii="Arial" w:cs="Arial" w:eastAsia="Arial" w:hAnsi="Arial"/>
                <w:sz w:val="16"/>
                <w:szCs w:val="16"/>
                <w:color w:val="auto"/>
                <w:w w:val="84"/>
              </w:rPr>
              <w:t>Decrease</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3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Flat</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Interest and Other Expense, Net</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82"/>
              <w:spacing w:after="0"/>
              <w:rPr>
                <w:sz w:val="20"/>
                <w:szCs w:val="20"/>
                <w:color w:val="auto"/>
              </w:rPr>
            </w:pPr>
            <w:r>
              <w:rPr>
                <w:rFonts w:ascii="Arial" w:cs="Arial" w:eastAsia="Arial" w:hAnsi="Arial"/>
                <w:sz w:val="14"/>
                <w:szCs w:val="14"/>
                <w:b w:val="1"/>
                <w:bCs w:val="1"/>
                <w:color w:val="auto"/>
                <w:w w:val="89"/>
              </w:rPr>
              <w:t>Fiscal year ended January 31,</w:t>
            </w:r>
          </w:p>
        </w:tc>
        <w:tc>
          <w:tcPr>
            <w:tcW w:w="1080" w:type="dxa"/>
            <w:vAlign w:val="bottom"/>
            <w:tcBorders>
              <w:bottom w:val="single" w:sz="8" w:color="auto"/>
            </w:tcBorders>
          </w:tcPr>
          <w:p>
            <w:pPr>
              <w:spacing w:after="0"/>
              <w:rPr>
                <w:sz w:val="16"/>
                <w:szCs w:val="16"/>
                <w:color w:val="auto"/>
              </w:rPr>
            </w:pPr>
          </w:p>
        </w:tc>
      </w:tr>
      <w:tr>
        <w:trPr>
          <w:trHeight w:val="183"/>
        </w:trPr>
        <w:tc>
          <w:tcPr>
            <w:tcW w:w="6720" w:type="dxa"/>
            <w:vAlign w:val="bottom"/>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178"/>
        </w:trPr>
        <w:tc>
          <w:tcPr>
            <w:tcW w:w="6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Gain on foreign currency</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gain on strategic investments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20" w:firstLine="396"/>
        <w:spacing w:after="0" w:line="300" w:lineRule="auto"/>
        <w:rPr>
          <w:sz w:val="20"/>
          <w:szCs w:val="20"/>
          <w:color w:val="auto"/>
        </w:rPr>
      </w:pPr>
      <w:r>
        <w:rPr>
          <w:rFonts w:ascii="Arial" w:cs="Arial" w:eastAsia="Arial" w:hAnsi="Arial"/>
          <w:sz w:val="16"/>
          <w:szCs w:val="16"/>
          <w:color w:val="auto"/>
        </w:rPr>
        <w:t>Interest and other expense, net, increased by $34.2 million during fiscal 2021, as compared to fiscal 2020. The increase was primarily due to an increase in impairments and negative measurement alternative adjustments on our strategic investment equity securities and a decrease in interest income offset by a decrease in interest expense as result of the payment in full of our term loan, and an increase in mark-to-market gains on marketable securities.</w:t>
      </w:r>
    </w:p>
    <w:p>
      <w:pPr>
        <w:spacing w:after="0" w:line="181" w:lineRule="exact"/>
        <w:rPr>
          <w:sz w:val="20"/>
          <w:szCs w:val="20"/>
          <w:color w:val="auto"/>
        </w:rPr>
      </w:pPr>
    </w:p>
    <w:p>
      <w:pPr>
        <w:ind w:right="100" w:firstLine="396"/>
        <w:spacing w:after="0" w:line="249" w:lineRule="auto"/>
        <w:rPr>
          <w:sz w:val="20"/>
          <w:szCs w:val="20"/>
          <w:color w:val="auto"/>
        </w:rPr>
      </w:pPr>
      <w:r>
        <w:rPr>
          <w:rFonts w:ascii="Arial" w:cs="Arial" w:eastAsia="Arial" w:hAnsi="Arial"/>
          <w:sz w:val="18"/>
          <w:szCs w:val="18"/>
          <w:color w:val="auto"/>
        </w:rPr>
        <w:t>Interest and other expense, net, increased by $30.5 million during fiscal 2020, as compared to fiscal 2019. This was primarily driven by losses in the current year versus gains in the previous year on our strategic investment equity securities, curtailment gains on our pension plans in the prior period, and an increase in interest expense resulting from our term loan entered into on December 17, 2018, in aggregate principal amount of $500.0 million, which has been paid in full as of January 31, 2020. The increase in interest and other expense, net, was partially offset by mark-to-market gains in the current year versus losses in the prior year on marketable securities.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76" w:lineRule="exact"/>
        <w:rPr>
          <w:sz w:val="20"/>
          <w:szCs w:val="20"/>
          <w:color w:val="auto"/>
        </w:rPr>
      </w:pPr>
    </w:p>
    <w:p>
      <w:pPr>
        <w:ind w:right="260" w:firstLine="396"/>
        <w:spacing w:after="0" w:line="253"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Provision for Income Taxes</w:t>
      </w:r>
    </w:p>
    <w:p>
      <w:pPr>
        <w:spacing w:after="0" w:line="241" w:lineRule="exact"/>
        <w:rPr>
          <w:sz w:val="20"/>
          <w:szCs w:val="20"/>
          <w:color w:val="auto"/>
        </w:rPr>
      </w:pPr>
    </w:p>
    <w:p>
      <w:pPr>
        <w:ind w:right="100" w:firstLine="435"/>
        <w:spacing w:after="0" w:line="287" w:lineRule="auto"/>
        <w:rPr>
          <w:sz w:val="20"/>
          <w:szCs w:val="20"/>
          <w:color w:val="auto"/>
        </w:rPr>
      </w:pPr>
      <w:r>
        <w:rPr>
          <w:rFonts w:ascii="Arial" w:cs="Arial" w:eastAsia="Arial" w:hAnsi="Arial"/>
          <w:sz w:val="16"/>
          <w:szCs w:val="16"/>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 Furthermore, on January 22, 2018, the FASB released guidance on the accounting for tax on the global intangible low-taxed income (“GILTI”) provisions of the TCJA. The GILTI provisions impose a tax on foreign income in excess of a deemed return on tangible assets of foreign corporations. The Company has elected to recognize any potential GILTI obligations as an expense in the period it is incurred.</w:t>
      </w:r>
    </w:p>
    <w:p>
      <w:pPr>
        <w:spacing w:after="0" w:line="192" w:lineRule="exact"/>
        <w:rPr>
          <w:sz w:val="20"/>
          <w:szCs w:val="20"/>
          <w:color w:val="auto"/>
        </w:rPr>
      </w:pPr>
    </w:p>
    <w:p>
      <w:pPr>
        <w:ind w:right="100" w:firstLine="435"/>
        <w:spacing w:after="0" w:line="287" w:lineRule="auto"/>
        <w:rPr>
          <w:sz w:val="20"/>
          <w:szCs w:val="20"/>
          <w:color w:val="auto"/>
        </w:rPr>
      </w:pPr>
      <w:r>
        <w:rPr>
          <w:rFonts w:ascii="Arial" w:cs="Arial" w:eastAsia="Arial" w:hAnsi="Arial"/>
          <w:sz w:val="16"/>
          <w:szCs w:val="16"/>
          <w:color w:val="auto"/>
        </w:rPr>
        <w:t>Income tax benefit was $661.5 million and expense was $80.3 million for fiscal 2021 and 2020, relative to pre-tax income of $546.7 million and $294.8 million, respectively, for the same periods. The tax benefit for fiscal 2021 consists primarily of the U.S. valuation allowance release, U.S. foreign derived intangible income permanent benefit, share-based compensation deductions and generation of federal tax credits, offset by foreign tax expense, including withholding tax. Tax expense for fiscal 2020 consisted of foreign tax expense, including withholding tax, and U.S. tax amortization on indefinite-lived intangibles, offset by a tax benefit from the release of Singapore valuation allowance.</w:t>
      </w:r>
    </w:p>
    <w:p>
      <w:pPr>
        <w:spacing w:after="0" w:line="192"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In fiscal 2016, we considered cumulative losses in the United States from our business model transition as a significant source of negative evidence. Considering this negative evidence, we determined that it was more likely than not that we would not realize the U.S. deferred tax assets and recorded a full valuation allowance against our deferred tax assets. Similarly, in fiscal 2018 we recorded a valuation allowance against our Singapore deferred tax assets due to significant negative evidence in the form of cumulative losses. Foreign operations in the Netherlands and Canada that generated interest expense and future creditable research in excess of earnings, respectively, also resulted in the historic recording of a full valuation under the more likely than not realizability criteria.</w:t>
      </w:r>
    </w:p>
    <w:p>
      <w:pPr>
        <w:spacing w:after="0" w:line="220" w:lineRule="exact"/>
        <w:rPr>
          <w:sz w:val="20"/>
          <w:szCs w:val="20"/>
          <w:color w:val="auto"/>
        </w:rPr>
      </w:pPr>
    </w:p>
    <w:p>
      <w:pPr>
        <w:ind w:right="140" w:firstLine="435"/>
        <w:spacing w:after="0" w:line="300" w:lineRule="auto"/>
        <w:rPr>
          <w:sz w:val="20"/>
          <w:szCs w:val="20"/>
          <w:color w:val="auto"/>
        </w:rPr>
      </w:pPr>
      <w:r>
        <w:rPr>
          <w:rFonts w:ascii="Arial" w:cs="Arial" w:eastAsia="Arial" w:hAnsi="Arial"/>
          <w:sz w:val="16"/>
          <w:szCs w:val="16"/>
          <w:color w:val="auto"/>
        </w:rPr>
        <w:t>We released our Singapore valuation allowance in fiscal 2020 due to positive evidence in the form of cumulative earnings, resulting in a $42.0 million non-cash benefit to earnings. In the fourth quarter of fiscal 2021, we released the valuation allowance against our deferred tax assets in the U.S., resulting in a $679.0 million non-cash benefit to earnings. We released the U.S. valuation allowance in fiscal 2021 due to the following positive evidence:</w:t>
      </w:r>
    </w:p>
    <w:p>
      <w:pPr>
        <w:spacing w:after="0" w:line="181" w:lineRule="exact"/>
        <w:rPr>
          <w:sz w:val="20"/>
          <w:szCs w:val="20"/>
          <w:color w:val="auto"/>
        </w:rPr>
      </w:pPr>
    </w:p>
    <w:p>
      <w:pPr>
        <w:ind w:left="640" w:hanging="31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history of worldwide pre-tax earnings, including cumulative earnings on a worldwide basis as of fiscal 2021</w:t>
      </w:r>
    </w:p>
    <w:p>
      <w:pPr>
        <w:spacing w:after="0" w:line="15" w:lineRule="exact"/>
        <w:rPr>
          <w:rFonts w:ascii="Arial" w:cs="Arial" w:eastAsia="Arial" w:hAnsi="Arial"/>
          <w:sz w:val="18"/>
          <w:szCs w:val="18"/>
          <w:color w:val="auto"/>
        </w:rPr>
      </w:pPr>
    </w:p>
    <w:p>
      <w:pPr>
        <w:ind w:left="640" w:hanging="31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history of U.S. taxable income</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Forecast of worldwide and U.S. pre-tax earnings, including a forecast of cumulative earnings in the U.S. jurisdiction</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Forecast of U.S. taxable income</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Reversal of deferred tax liabilities</w:t>
      </w:r>
    </w:p>
    <w:p>
      <w:pPr>
        <w:spacing w:after="0" w:line="230" w:lineRule="exact"/>
        <w:rPr>
          <w:sz w:val="20"/>
          <w:szCs w:val="20"/>
          <w:color w:val="auto"/>
        </w:rPr>
      </w:pPr>
    </w:p>
    <w:p>
      <w:pPr>
        <w:ind w:right="120" w:firstLine="396"/>
        <w:spacing w:after="0" w:line="262" w:lineRule="auto"/>
        <w:rPr>
          <w:sz w:val="20"/>
          <w:szCs w:val="20"/>
          <w:color w:val="auto"/>
        </w:rPr>
      </w:pPr>
      <w:r>
        <w:rPr>
          <w:rFonts w:ascii="Arial" w:cs="Arial" w:eastAsia="Arial" w:hAnsi="Arial"/>
          <w:sz w:val="18"/>
          <w:szCs w:val="18"/>
          <w:color w:val="auto"/>
        </w:rPr>
        <w:t>We have retained a valuation allowance against California deferred tax assets and deferred tax assets that will convert into a capital loss upon reversal as we do not have sufficient income of the appropriate character to benefit these deferred tax assets.</w:t>
      </w:r>
    </w:p>
    <w:p>
      <w:pPr>
        <w:spacing w:after="0" w:line="208" w:lineRule="exact"/>
        <w:rPr>
          <w:sz w:val="20"/>
          <w:szCs w:val="20"/>
          <w:color w:val="auto"/>
        </w:rPr>
      </w:pPr>
    </w:p>
    <w:p>
      <w:pPr>
        <w:ind w:right="180" w:firstLine="435"/>
        <w:spacing w:after="0" w:line="253"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whereby management may determine, based on all available evidence, both positive and negative, that it is more likely than not that the Netherlands, Canada, California, Michigan, and capital loss deferred tax assets will be realized.</w:t>
      </w:r>
    </w:p>
    <w:p>
      <w:pPr>
        <w:spacing w:after="0" w:line="216" w:lineRule="exact"/>
        <w:rPr>
          <w:sz w:val="20"/>
          <w:szCs w:val="20"/>
          <w:color w:val="auto"/>
        </w:rPr>
      </w:pPr>
    </w:p>
    <w:p>
      <w:pPr>
        <w:jc w:val="both"/>
        <w:ind w:right="320" w:firstLine="435"/>
        <w:spacing w:after="0" w:line="253" w:lineRule="auto"/>
        <w:rPr>
          <w:sz w:val="20"/>
          <w:szCs w:val="20"/>
          <w:color w:val="auto"/>
        </w:rPr>
      </w:pPr>
      <w:r>
        <w:rPr>
          <w:rFonts w:ascii="Arial" w:cs="Arial" w:eastAsia="Arial" w:hAnsi="Arial"/>
          <w:sz w:val="18"/>
          <w:szCs w:val="18"/>
          <w:color w:val="auto"/>
        </w:rPr>
        <w:t>As of January 31, 2021, we had $198.0 million of gross unrecognized tax benefits, of which $31.7 million would reduce our valuation allowance, if recognized. The remaining $166.3 million would impact the effective tax rate. It is possible that the amount of unrecognized tax benefits will change in the next 12 months for an audit settlement of approximately $8.2 million.</w:t>
      </w:r>
    </w:p>
    <w:p>
      <w:pPr>
        <w:spacing w:after="0" w:line="216" w:lineRule="exact"/>
        <w:rPr>
          <w:sz w:val="20"/>
          <w:szCs w:val="20"/>
          <w:color w:val="auto"/>
        </w:rPr>
      </w:pPr>
    </w:p>
    <w:p>
      <w:pPr>
        <w:ind w:right="80" w:firstLine="435"/>
        <w:spacing w:after="0" w:line="249" w:lineRule="auto"/>
        <w:rPr>
          <w:sz w:val="20"/>
          <w:szCs w:val="20"/>
          <w:color w:val="auto"/>
        </w:rPr>
      </w:pPr>
      <w:r>
        <w:rPr>
          <w:rFonts w:ascii="Arial" w:cs="Arial" w:eastAsia="Arial" w:hAnsi="Arial"/>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is generated by our European and Asia Pacific subsidiaries. Our future effective tax rates may be adversely affected to the extent earnings are lower than anticipated in countries where we have lower statutory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47" w:lineRule="exact"/>
        <w:rPr>
          <w:sz w:val="20"/>
          <w:szCs w:val="20"/>
          <w:color w:val="auto"/>
        </w:rPr>
      </w:pPr>
    </w:p>
    <w:p>
      <w:pPr>
        <w:ind w:right="60" w:firstLine="435"/>
        <w:spacing w:after="0" w:line="284" w:lineRule="auto"/>
        <w:rPr>
          <w:sz w:val="20"/>
          <w:szCs w:val="20"/>
          <w:color w:val="auto"/>
        </w:rPr>
      </w:pPr>
      <w:r>
        <w:rPr>
          <w:rFonts w:ascii="Arial" w:cs="Arial" w:eastAsia="Arial" w:hAnsi="Arial"/>
          <w:sz w:val="16"/>
          <w:szCs w:val="16"/>
          <w:color w:val="auto"/>
        </w:rPr>
        <w:t>In addition to our results determined under U.S. generally accepted accounting principles (“GAAP”) discussed above, we believe the following non-GAAP measures are useful to investors in evaluating our operating performance. For the fiscal years ended January 31, 2021, 2020, and 2019,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742"/>
              <w:spacing w:after="0"/>
              <w:rPr>
                <w:sz w:val="20"/>
                <w:szCs w:val="20"/>
                <w:color w:val="auto"/>
              </w:rPr>
            </w:pPr>
            <w:r>
              <w:rPr>
                <w:rFonts w:ascii="Arial" w:cs="Arial" w:eastAsia="Arial" w:hAnsi="Arial"/>
                <w:sz w:val="14"/>
                <w:szCs w:val="14"/>
                <w:b w:val="1"/>
                <w:bCs w:val="1"/>
                <w:color w:val="auto"/>
                <w:w w:val="91"/>
              </w:rPr>
              <w:t>Fiscal Year Ended January 31,</w:t>
            </w:r>
          </w:p>
        </w:tc>
        <w:tc>
          <w:tcPr>
            <w:tcW w:w="116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79"/>
        </w:trPr>
        <w:tc>
          <w:tcPr>
            <w:tcW w:w="6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02"/>
              <w:spacing w:after="0"/>
              <w:rPr>
                <w:sz w:val="20"/>
                <w:szCs w:val="20"/>
                <w:color w:val="auto"/>
              </w:rPr>
            </w:pPr>
            <w:r>
              <w:rPr>
                <w:rFonts w:ascii="Arial" w:cs="Arial" w:eastAsia="Arial" w:hAnsi="Arial"/>
                <w:sz w:val="14"/>
                <w:szCs w:val="14"/>
                <w:b w:val="1"/>
                <w:bCs w:val="1"/>
                <w:color w:val="auto"/>
                <w:w w:val="92"/>
              </w:rPr>
              <w:t>(Unaudited)</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3,453.3</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2,949.4</w:t>
            </w:r>
          </w:p>
        </w:tc>
        <w:tc>
          <w:tcPr>
            <w:tcW w:w="4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2,283.9</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3,508.5</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3,004.0</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2,317.0</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91 %</w:t>
            </w:r>
          </w:p>
        </w:tc>
        <w:tc>
          <w:tcPr>
            <w:tcW w:w="3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90 %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margin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629.1</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343.0</w:t>
            </w:r>
          </w:p>
        </w:tc>
        <w:tc>
          <w:tcPr>
            <w:tcW w:w="4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(25.0)</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income from operations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1,111.9</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802.6</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316.0</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17 %</w:t>
            </w:r>
          </w:p>
        </w:tc>
        <w:tc>
          <w:tcPr>
            <w:tcW w:w="3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10 %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margin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1,208.2</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214.5</w:t>
            </w:r>
          </w:p>
        </w:tc>
        <w:tc>
          <w:tcPr>
            <w:tcW w:w="4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(80.8)</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899.8</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621.2</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223.3</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5.44</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0.96</w:t>
            </w:r>
          </w:p>
        </w:tc>
        <w:tc>
          <w:tcPr>
            <w:tcW w:w="4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(0.37)</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diluted net income per share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4.05</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2.79</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w:t>
            </w:r>
          </w:p>
        </w:tc>
      </w:tr>
      <w:tr>
        <w:trPr>
          <w:trHeight w:val="208"/>
        </w:trPr>
        <w:tc>
          <w:tcPr>
            <w:tcW w:w="6460" w:type="dxa"/>
            <w:vAlign w:val="bottom"/>
          </w:tcPr>
          <w:p>
            <w:pPr>
              <w:ind w:left="2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222.1</w:t>
            </w:r>
          </w:p>
        </w:tc>
        <w:tc>
          <w:tcPr>
            <w:tcW w:w="3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222.5</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218.9</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222.1</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222.5</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r>
    </w:tbl>
    <w:p>
      <w:pPr>
        <w:spacing w:after="0" w:line="291"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01"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721"/>
              <w:spacing w:after="0"/>
              <w:rPr>
                <w:sz w:val="20"/>
                <w:szCs w:val="20"/>
                <w:color w:val="auto"/>
              </w:rPr>
            </w:pPr>
            <w:r>
              <w:rPr>
                <w:rFonts w:ascii="Arial" w:cs="Arial" w:eastAsia="Arial" w:hAnsi="Arial"/>
                <w:sz w:val="14"/>
                <w:szCs w:val="14"/>
                <w:b w:val="1"/>
                <w:bCs w:val="1"/>
                <w:color w:val="auto"/>
                <w:w w:val="91"/>
              </w:rPr>
              <w:t>Fiscal Year Ended January 31,</w:t>
            </w:r>
          </w:p>
        </w:tc>
        <w:tc>
          <w:tcPr>
            <w:tcW w:w="1160" w:type="dxa"/>
            <w:vAlign w:val="bottom"/>
            <w:tcBorders>
              <w:bottom w:val="single" w:sz="8" w:color="auto"/>
            </w:tcBorders>
          </w:tcPr>
          <w:p>
            <w:pPr>
              <w:spacing w:after="0"/>
              <w:rPr>
                <w:sz w:val="16"/>
                <w:szCs w:val="16"/>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179"/>
        </w:trPr>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8"/>
        </w:trPr>
        <w:tc>
          <w:tcPr>
            <w:tcW w:w="6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3,453.3</w:t>
            </w:r>
          </w:p>
        </w:tc>
        <w:tc>
          <w:tcPr>
            <w:tcW w:w="1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2,949.4</w:t>
            </w:r>
          </w:p>
        </w:tc>
        <w:tc>
          <w:tcPr>
            <w:tcW w:w="1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2,283.9</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17.6</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15.5</w:t>
            </w:r>
          </w:p>
        </w:tc>
      </w:tr>
      <w:tr>
        <w:trPr>
          <w:trHeight w:val="201"/>
        </w:trPr>
        <w:tc>
          <w:tcPr>
            <w:tcW w:w="64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3,508.5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3,004.0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2,317.0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margin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1"/>
        </w:trPr>
        <w:tc>
          <w:tcPr>
            <w:tcW w:w="6440" w:type="dxa"/>
            <w:vAlign w:val="bottom"/>
          </w:tcPr>
          <w:p>
            <w:pPr>
              <w:ind w:left="20"/>
              <w:spacing w:after="0"/>
              <w:rPr>
                <w:sz w:val="20"/>
                <w:szCs w:val="20"/>
                <w:color w:val="auto"/>
              </w:rPr>
            </w:pPr>
            <w:r>
              <w:rPr>
                <w:rFonts w:ascii="Arial" w:cs="Arial" w:eastAsia="Arial" w:hAnsi="Arial"/>
                <w:sz w:val="16"/>
                <w:szCs w:val="16"/>
                <w:color w:val="auto"/>
              </w:rPr>
              <w:t>Non-GAAP gross margin (1)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629.1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(25.0)</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249.5</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15.5</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18.0</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CEO transition costs (2)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16.2</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41.9</w:t>
            </w:r>
          </w:p>
        </w:tc>
      </w:tr>
      <w:tr>
        <w:trPr>
          <w:trHeight w:val="201"/>
        </w:trPr>
        <w:tc>
          <w:tcPr>
            <w:tcW w:w="64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1,111.9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802.6</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316.0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CEO transition costs (2)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18"/>
                <w:szCs w:val="18"/>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1"/>
        </w:trPr>
        <w:tc>
          <w:tcPr>
            <w:tcW w:w="6440" w:type="dxa"/>
            <w:vAlign w:val="bottom"/>
          </w:tcPr>
          <w:p>
            <w:pPr>
              <w:ind w:left="20"/>
              <w:spacing w:after="0"/>
              <w:rPr>
                <w:sz w:val="20"/>
                <w:szCs w:val="20"/>
                <w:color w:val="auto"/>
              </w:rPr>
            </w:pPr>
            <w:r>
              <w:rPr>
                <w:rFonts w:ascii="Arial" w:cs="Arial" w:eastAsia="Arial" w:hAnsi="Arial"/>
                <w:sz w:val="16"/>
                <w:szCs w:val="16"/>
                <w:color w:val="auto"/>
              </w:rPr>
              <w:t>Non-GAAP operating margin (1)</w:t>
            </w: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(80.8)</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249.5</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15.5</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18.0</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CEO transition costs (2)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16.2</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31.7</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Loss (gain) on strategic investments</w:t>
            </w: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(12.5)</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Release of valuation allowance on deferred tax assets (3)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(679.0)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(16.8)</w:t>
            </w:r>
          </w:p>
        </w:tc>
      </w:tr>
      <w:tr>
        <w:trPr>
          <w:trHeight w:val="208"/>
        </w:trPr>
        <w:tc>
          <w:tcPr>
            <w:tcW w:w="6440" w:type="dxa"/>
            <w:vAlign w:val="bottom"/>
          </w:tcPr>
          <w:p>
            <w:pPr>
              <w:ind w:left="340"/>
              <w:spacing w:after="0"/>
              <w:rPr>
                <w:sz w:val="20"/>
                <w:szCs w:val="20"/>
                <w:color w:val="auto"/>
              </w:rPr>
            </w:pPr>
            <w:r>
              <w:rPr>
                <w:rFonts w:ascii="Arial" w:cs="Arial" w:eastAsia="Arial" w:hAnsi="Arial"/>
                <w:sz w:val="16"/>
                <w:szCs w:val="16"/>
                <w:color w:val="auto"/>
              </w:rPr>
              <w:t>Discrete tax provision items</w:t>
            </w:r>
          </w:p>
        </w:tc>
        <w:tc>
          <w:tcPr>
            <w:tcW w:w="3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(14.6)</w:t>
            </w:r>
          </w:p>
        </w:tc>
      </w:tr>
      <w:tr>
        <w:trPr>
          <w:trHeight w:val="214"/>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17.2</w:t>
            </w:r>
          </w:p>
        </w:tc>
      </w:tr>
      <w:tr>
        <w:trPr>
          <w:trHeight w:val="201"/>
        </w:trPr>
        <w:tc>
          <w:tcPr>
            <w:tcW w:w="644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899.8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621.2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223.3</w:t>
            </w:r>
          </w:p>
        </w:tc>
      </w:tr>
      <w:tr>
        <w:trPr>
          <w:trHeight w:val="23"/>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18"/>
        </w:trPr>
        <w:tc>
          <w:tcPr>
            <w:tcW w:w="67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04"/>
        </w:trPr>
        <w:tc>
          <w:tcPr>
            <w:tcW w:w="672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Diluted net income (loss) per share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CEO transition costs (2)</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Loss (gain) on strategic investments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Release of valuation allowance on deferred tax assets (3)</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Discrete tax provision items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01"/>
        </w:trPr>
        <w:tc>
          <w:tcPr>
            <w:tcW w:w="6720" w:type="dxa"/>
            <w:vAlign w:val="bottom"/>
          </w:tcPr>
          <w:p>
            <w:pPr>
              <w:ind w:left="20"/>
              <w:spacing w:after="0"/>
              <w:rPr>
                <w:sz w:val="20"/>
                <w:szCs w:val="20"/>
                <w:color w:val="auto"/>
              </w:rPr>
            </w:pPr>
            <w:r>
              <w:rPr>
                <w:rFonts w:ascii="Arial" w:cs="Arial" w:eastAsia="Arial" w:hAnsi="Arial"/>
                <w:sz w:val="16"/>
                <w:szCs w:val="16"/>
                <w:color w:val="auto"/>
              </w:rPr>
              <w:t>Non-GAAP diluted net income per share</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3"/>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ind w:left="400" w:hanging="394"/>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00" w:right="300" w:hanging="394"/>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$16.4 million related to the acceleration of eligible stock awards in conjunction with the Company's former CEOs' transition agreements for the fiscal year ended January 31, 2018.</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Fiscal year 2019 balances previously presented in "Discrete tax provision items."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41" w:lineRule="exact"/>
        <w:rPr>
          <w:sz w:val="20"/>
          <w:szCs w:val="20"/>
          <w:color w:val="auto"/>
        </w:rPr>
      </w:pPr>
    </w:p>
    <w:p>
      <w:pPr>
        <w:ind w:right="120" w:firstLine="396"/>
        <w:spacing w:after="0" w:line="287" w:lineRule="auto"/>
        <w:rPr>
          <w:sz w:val="20"/>
          <w:szCs w:val="20"/>
          <w:color w:val="auto"/>
        </w:rPr>
      </w:pPr>
      <w:r>
        <w:rPr>
          <w:rFonts w:ascii="Arial" w:cs="Arial" w:eastAsia="Arial" w:hAnsi="Arial"/>
          <w:sz w:val="16"/>
          <w:szCs w:val="16"/>
          <w:i w:val="1"/>
          <w:iCs w:val="1"/>
          <w:color w:val="auto"/>
        </w:rPr>
        <w:t xml:space="preserve">Stock-based compensation expenses. </w:t>
      </w:r>
      <w:r>
        <w:rPr>
          <w:rFonts w:ascii="Arial" w:cs="Arial" w:eastAsia="Arial" w:hAnsi="Arial"/>
          <w:sz w:val="16"/>
          <w:szCs w:val="16"/>
          <w:color w:val="auto"/>
        </w:rPr>
        <w:t>We exclude stock-based compensation expenses from non-GAAP measures primarily because they are non-cash</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92" w:lineRule="exact"/>
        <w:rPr>
          <w:sz w:val="20"/>
          <w:szCs w:val="20"/>
          <w:color w:val="auto"/>
        </w:rPr>
      </w:pPr>
    </w:p>
    <w:p>
      <w:pPr>
        <w:ind w:right="280" w:firstLine="396"/>
        <w:spacing w:after="0" w:line="285" w:lineRule="auto"/>
        <w:rPr>
          <w:sz w:val="20"/>
          <w:szCs w:val="20"/>
          <w:color w:val="auto"/>
        </w:rPr>
      </w:pPr>
      <w:r>
        <w:rPr>
          <w:rFonts w:ascii="Arial" w:cs="Arial" w:eastAsia="Arial" w:hAnsi="Arial"/>
          <w:sz w:val="16"/>
          <w:szCs w:val="16"/>
          <w:i w:val="1"/>
          <w:iCs w:val="1"/>
          <w:color w:val="auto"/>
        </w:rPr>
        <w:t xml:space="preserve">Amortization of developed technologies and purchased intangibles. </w:t>
      </w:r>
      <w:r>
        <w:rPr>
          <w:rFonts w:ascii="Arial" w:cs="Arial" w:eastAsia="Arial" w:hAnsi="Arial"/>
          <w:sz w:val="16"/>
          <w:szCs w:val="16"/>
          <w:color w:val="auto"/>
        </w:rPr>
        <w:t>We incur amortization of acquisition-related developed technology and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93" w:lineRule="exact"/>
        <w:rPr>
          <w:sz w:val="20"/>
          <w:szCs w:val="20"/>
          <w:color w:val="auto"/>
        </w:rPr>
      </w:pPr>
    </w:p>
    <w:p>
      <w:pPr>
        <w:ind w:right="80" w:firstLine="396"/>
        <w:spacing w:after="0" w:line="249"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9" w:lineRule="exact"/>
        <w:rPr>
          <w:sz w:val="20"/>
          <w:szCs w:val="20"/>
          <w:color w:val="auto"/>
        </w:rPr>
      </w:pPr>
    </w:p>
    <w:p>
      <w:pPr>
        <w:ind w:right="460" w:firstLine="396"/>
        <w:spacing w:after="0" w:line="25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 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16"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 w:firstLine="396"/>
        <w:spacing w:after="0" w:line="287"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We exclude certain acquisition-related costs, including due diligence costs, professional fees in connection with an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192"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i w:val="1"/>
          <w:iCs w:val="1"/>
          <w:color w:val="auto"/>
        </w:rPr>
        <w:t xml:space="preserve">Loss (gain) on strategic investments and dispositions. </w:t>
      </w:r>
      <w:r>
        <w:rPr>
          <w:rFonts w:ascii="Arial" w:cs="Arial" w:eastAsia="Arial" w:hAnsi="Arial"/>
          <w:sz w:val="16"/>
          <w:szCs w:val="16"/>
          <w:color w:val="auto"/>
        </w:rPr>
        <w:t>We exclude gains and losses related to our strategic investments and dispositions of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80" w:firstLine="396"/>
        <w:spacing w:after="0" w:line="296" w:lineRule="auto"/>
        <w:rPr>
          <w:sz w:val="20"/>
          <w:szCs w:val="20"/>
          <w:color w:val="auto"/>
        </w:rPr>
      </w:pPr>
      <w:r>
        <w:rPr>
          <w:rFonts w:ascii="Arial" w:cs="Arial" w:eastAsia="Arial" w:hAnsi="Arial"/>
          <w:sz w:val="15"/>
          <w:szCs w:val="15"/>
          <w:i w:val="1"/>
          <w:iCs w:val="1"/>
          <w:color w:val="auto"/>
        </w:rPr>
        <w:t xml:space="preserve">Discrete tax provision items. </w:t>
      </w:r>
      <w:r>
        <w:rPr>
          <w:rFonts w:ascii="Arial" w:cs="Arial" w:eastAsia="Arial" w:hAnsi="Arial"/>
          <w:sz w:val="15"/>
          <w:szCs w:val="15"/>
          <w:color w:val="auto"/>
        </w:rPr>
        <w:t>We exclude the GAAP tax provision, including discrete items, from the non-GAAP measure of net income (loss), and</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73" w:lineRule="exact"/>
        <w:rPr>
          <w:sz w:val="20"/>
          <w:szCs w:val="20"/>
          <w:color w:val="auto"/>
        </w:rPr>
      </w:pPr>
    </w:p>
    <w:p>
      <w:pPr>
        <w:ind w:right="60" w:firstLine="396"/>
        <w:spacing w:after="0" w:line="253"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This is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216" w:lineRule="exact"/>
        <w:rPr>
          <w:sz w:val="20"/>
          <w:szCs w:val="20"/>
          <w:color w:val="auto"/>
        </w:rPr>
      </w:pPr>
    </w:p>
    <w:p>
      <w:pPr>
        <w:ind w:right="300" w:firstLine="396"/>
        <w:spacing w:after="0" w:line="300"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9" w:lineRule="exact"/>
        <w:rPr>
          <w:sz w:val="20"/>
          <w:szCs w:val="20"/>
          <w:color w:val="auto"/>
        </w:rPr>
      </w:pPr>
    </w:p>
    <w:p>
      <w:pPr>
        <w:ind w:right="320" w:firstLine="396"/>
        <w:spacing w:after="0" w:line="268" w:lineRule="auto"/>
        <w:rPr>
          <w:sz w:val="20"/>
          <w:szCs w:val="20"/>
          <w:color w:val="auto"/>
        </w:rPr>
      </w:pPr>
      <w:r>
        <w:rPr>
          <w:rFonts w:ascii="Arial" w:cs="Arial" w:eastAsia="Arial" w:hAnsi="Arial"/>
          <w:sz w:val="16"/>
          <w:szCs w:val="16"/>
          <w:color w:val="auto"/>
        </w:rPr>
        <w:t>At January 31, 2021, our principal sources of liquidity were cash, cash equivalents, and marketable securities totaling $1.86 billion and net accounts receivable of $643.1 million. Our marketable securities include $81.0 million of debt and equity securities that are held in a rabbi trust under non-qualified deferred compensation plans. On February 23, 2021, we announced the pending acquisition of Storm UK Holdco Limited, the parent of Innovyze, Inc., for approximately $1.0 billion. The acquisition is subject to customary closing conditions, including regulatory approvals, and is expected to close in our first quarter of fiscal 2021. We intend to fund this acquisition with readily available cash. See Part II, Item 8, Note 17, “Subsequent Events,” in the Notes to Consolidated Financial Statements for further discussion.</w:t>
      </w:r>
    </w:p>
    <w:p>
      <w:pPr>
        <w:spacing w:after="0" w:line="192"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line of credit facility is December 2023. At January 31, 2021, Autodesk had no outstanding borrowings on this line of credit. As of March 19, 2021, we have no amounts outstanding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color w:val="auto"/>
        </w:rPr>
        <w:t>under the credit facility. See Part II, Item 8, Note 8, “Borrowing Arrangements,” in the Notes to Consolidated Financial Statements for further discussion on our covenant requirements. If we are unable to remain in compliance with the covenants, we will not be able to draw on our credit facility.</w:t>
      </w:r>
    </w:p>
    <w:p>
      <w:pPr>
        <w:spacing w:after="0" w:line="161" w:lineRule="exact"/>
        <w:rPr>
          <w:sz w:val="20"/>
          <w:szCs w:val="20"/>
          <w:color w:val="auto"/>
        </w:rPr>
      </w:pPr>
    </w:p>
    <w:p>
      <w:pPr>
        <w:ind w:right="860" w:firstLine="396"/>
        <w:spacing w:after="0" w:line="262" w:lineRule="auto"/>
        <w:rPr>
          <w:sz w:val="20"/>
          <w:szCs w:val="20"/>
          <w:color w:val="auto"/>
        </w:rPr>
      </w:pPr>
      <w:r>
        <w:rPr>
          <w:rFonts w:ascii="Arial" w:cs="Arial" w:eastAsia="Arial" w:hAnsi="Arial"/>
          <w:sz w:val="18"/>
          <w:szCs w:val="18"/>
          <w:color w:val="auto"/>
        </w:rPr>
        <w:t>As of January 31, 2021, we have $1.65 billion aggregate principal amount of long-term notes payable outstanding. See Part II, Item 8, Note 8, “Borrowing Arrangements,” in the Notes to Consolidated Financial Statements for further discussion.</w:t>
      </w:r>
    </w:p>
    <w:p>
      <w:pPr>
        <w:spacing w:after="0" w:line="208" w:lineRule="exact"/>
        <w:rPr>
          <w:sz w:val="20"/>
          <w:szCs w:val="20"/>
          <w:color w:val="auto"/>
        </w:rPr>
      </w:pPr>
    </w:p>
    <w:p>
      <w:pPr>
        <w:ind w:firstLine="396"/>
        <w:spacing w:after="0" w:line="325" w:lineRule="auto"/>
        <w:rPr>
          <w:sz w:val="20"/>
          <w:szCs w:val="20"/>
          <w:color w:val="auto"/>
        </w:rPr>
      </w:pPr>
      <w:r>
        <w:rPr>
          <w:rFonts w:ascii="Arial" w:cs="Arial" w:eastAsia="Arial" w:hAnsi="Arial"/>
          <w:sz w:val="16"/>
          <w:szCs w:val="16"/>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161" w:lineRule="exact"/>
        <w:rPr>
          <w:sz w:val="20"/>
          <w:szCs w:val="20"/>
          <w:color w:val="auto"/>
        </w:rPr>
      </w:pPr>
    </w:p>
    <w:p>
      <w:pPr>
        <w:ind w:right="160" w:firstLine="396"/>
        <w:spacing w:after="0" w:line="282"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January 31, 2021, approximately 59%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TCJA included a mandatory one-time tax on accumulated earnings of foreign subsidiaries and generally eliminated U.S. taxes on foreign subsidiary distributions in future periods. As a result,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96" w:lineRule="exact"/>
        <w:rPr>
          <w:sz w:val="20"/>
          <w:szCs w:val="20"/>
          <w:color w:val="auto"/>
        </w:rPr>
      </w:pPr>
    </w:p>
    <w:p>
      <w:pPr>
        <w:ind w:right="140" w:firstLine="396"/>
        <w:spacing w:after="0" w:line="283" w:lineRule="auto"/>
        <w:rPr>
          <w:sz w:val="20"/>
          <w:szCs w:val="20"/>
          <w:color w:val="auto"/>
        </w:rPr>
      </w:pPr>
      <w:r>
        <w:rPr>
          <w:rFonts w:ascii="Arial" w:cs="Arial" w:eastAsia="Arial" w:hAnsi="Arial"/>
          <w:sz w:val="16"/>
          <w:szCs w:val="16"/>
          <w:color w:val="auto"/>
        </w:rPr>
        <w:t>Cash from operations could also be affected by various risks and uncertainties, including, but not limited to the risks detailed in Part I, Item 1A titled “Risk Factors.” Additionally, as a result of the COVID-19 pandemic, we extended contract payment terms for up to 60 days for all customers and partners for new orders and renewals placed directly with Autodesk. This payment terms extension program began on March 16, 2020, and ended on August 7, 2020. We currently expect to have sufficient liquidity to manage through the COVID-19 pandemic but we will continue to monitor the impact of potential disruptions beyond our control. Based on our current business plan, planned acquisitions,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 from the date of this Annual Report.</w:t>
      </w:r>
    </w:p>
    <w:p>
      <w:pPr>
        <w:spacing w:after="0" w:line="196" w:lineRule="exact"/>
        <w:rPr>
          <w:sz w:val="20"/>
          <w:szCs w:val="20"/>
          <w:color w:val="auto"/>
        </w:rPr>
      </w:pPr>
    </w:p>
    <w:p>
      <w:pPr>
        <w:ind w:right="140" w:firstLine="396"/>
        <w:spacing w:after="0" w:line="253"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483"/>
              <w:spacing w:after="0"/>
              <w:rPr>
                <w:sz w:val="20"/>
                <w:szCs w:val="20"/>
                <w:color w:val="auto"/>
              </w:rPr>
            </w:pPr>
            <w:r>
              <w:rPr>
                <w:rFonts w:ascii="Arial" w:cs="Arial" w:eastAsia="Arial" w:hAnsi="Arial"/>
                <w:sz w:val="14"/>
                <w:szCs w:val="14"/>
                <w:b w:val="1"/>
                <w:bCs w:val="1"/>
                <w:color w:val="auto"/>
              </w:rPr>
              <w:t>Fiscal year ended January 31,</w:t>
            </w:r>
          </w:p>
        </w:tc>
      </w:tr>
      <w:tr>
        <w:trPr>
          <w:trHeight w:val="18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2019</w:t>
            </w:r>
          </w:p>
        </w:tc>
      </w:tr>
      <w:tr>
        <w:trPr>
          <w:trHeight w:val="205"/>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03"/>
              <w:spacing w:after="0"/>
              <w:rPr>
                <w:sz w:val="20"/>
                <w:szCs w:val="20"/>
                <w:color w:val="auto"/>
              </w:rPr>
            </w:pPr>
            <w:r>
              <w:rPr>
                <w:rFonts w:ascii="Arial" w:cs="Arial" w:eastAsia="Arial" w:hAnsi="Arial"/>
                <w:sz w:val="16"/>
                <w:szCs w:val="16"/>
                <w:color w:val="auto"/>
                <w:w w:val="89"/>
              </w:rPr>
              <w:t>377.1</w:t>
            </w:r>
          </w:p>
        </w:tc>
      </w:tr>
      <w:tr>
        <w:trPr>
          <w:trHeight w:val="208"/>
        </w:trPr>
        <w:tc>
          <w:tcPr>
            <w:tcW w:w="83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center"/>
              <w:ind w:left="43"/>
              <w:spacing w:after="0"/>
              <w:rPr>
                <w:sz w:val="20"/>
                <w:szCs w:val="20"/>
                <w:color w:val="auto"/>
              </w:rPr>
            </w:pPr>
            <w:r>
              <w:rPr>
                <w:rFonts w:ascii="Arial" w:cs="Arial" w:eastAsia="Arial" w:hAnsi="Arial"/>
                <w:sz w:val="16"/>
                <w:szCs w:val="16"/>
                <w:color w:val="auto"/>
                <w:w w:val="90"/>
              </w:rPr>
              <w:t>(710.4)</w:t>
            </w:r>
          </w:p>
        </w:tc>
      </w:tr>
      <w:tr>
        <w:trPr>
          <w:trHeight w:val="214"/>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03"/>
              <w:spacing w:after="0"/>
              <w:rPr>
                <w:sz w:val="20"/>
                <w:szCs w:val="20"/>
                <w:color w:val="auto"/>
              </w:rPr>
            </w:pPr>
            <w:r>
              <w:rPr>
                <w:rFonts w:ascii="Arial" w:cs="Arial" w:eastAsia="Arial" w:hAnsi="Arial"/>
                <w:sz w:val="16"/>
                <w:szCs w:val="16"/>
                <w:color w:val="auto"/>
                <w:w w:val="89"/>
              </w:rPr>
              <w:t>151.9</w:t>
            </w:r>
          </w:p>
        </w:tc>
      </w:tr>
    </w:tbl>
    <w:p>
      <w:pPr>
        <w:spacing w:after="0" w:line="3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cash provided by operating activities of $1.44 billion for fiscal 2021, primarily consisted of $1,208.2 million of our net income adjusted for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$217.6 million non-cash items such as deferred income tax including the release of our deferred tax valuation allowance, stock-based compensation expense,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depreciation, amortization, and accretion expense. The increase in cash provided by working capital was primarily due to: a net increase in deferred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revenue of $344.4 million driven by an increase in product subscriptions and EBA offerings and a decrease in maintenance subscriptions; and an increase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other liabilities of $129.6 million primarily due to the timing of payments for operating expenses and accruals for employee related costs.</w:t>
      </w:r>
    </w:p>
    <w:p>
      <w:pPr>
        <w:spacing w:after="0" w:line="253" w:lineRule="exact"/>
        <w:rPr>
          <w:sz w:val="20"/>
          <w:szCs w:val="20"/>
          <w:color w:val="auto"/>
        </w:rPr>
      </w:pPr>
    </w:p>
    <w:p>
      <w:pPr>
        <w:ind w:right="40" w:firstLine="396"/>
        <w:spacing w:after="0" w:line="253" w:lineRule="auto"/>
        <w:rPr>
          <w:sz w:val="20"/>
          <w:szCs w:val="20"/>
          <w:color w:val="auto"/>
        </w:rPr>
      </w:pPr>
      <w:r>
        <w:rPr>
          <w:rFonts w:ascii="Arial" w:cs="Arial" w:eastAsia="Arial" w:hAnsi="Arial"/>
          <w:sz w:val="18"/>
          <w:szCs w:val="18"/>
          <w:color w:val="auto"/>
        </w:rPr>
        <w:t>Net cash provided by operating activities of $1.42 billion for fiscal 2020 consisted of $712.0 million of cash flow provided by changes in operating assets and liabilities, $488.6 million of non-cash expenses, including stock-based compensation expense, depreciation, amortization and accretion expense, and our net income of $214.5 million.</w:t>
      </w:r>
    </w:p>
    <w:p>
      <w:pPr>
        <w:spacing w:after="0" w:line="216" w:lineRule="exact"/>
        <w:rPr>
          <w:sz w:val="20"/>
          <w:szCs w:val="20"/>
          <w:color w:val="auto"/>
        </w:rPr>
      </w:pPr>
    </w:p>
    <w:p>
      <w:pPr>
        <w:ind w:right="80" w:firstLine="396"/>
        <w:spacing w:after="0" w:line="253" w:lineRule="auto"/>
        <w:rPr>
          <w:sz w:val="20"/>
          <w:szCs w:val="20"/>
          <w:color w:val="auto"/>
        </w:rPr>
      </w:pPr>
      <w:r>
        <w:rPr>
          <w:rFonts w:ascii="Arial" w:cs="Arial" w:eastAsia="Arial" w:hAnsi="Arial"/>
          <w:sz w:val="18"/>
          <w:szCs w:val="18"/>
          <w:color w:val="auto"/>
        </w:rPr>
        <w:t>Net cash used in investing activities was $403.9 million for fiscal 2021 and was primarily due to business combinations, net of cash acquired, capital expenditures, purchases of strategic investments, and purchases of marketable securities. These cash outflows were partially offset by maturities of marketable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96"/>
        <w:spacing w:after="0" w:line="300" w:lineRule="auto"/>
        <w:rPr>
          <w:sz w:val="20"/>
          <w:szCs w:val="20"/>
          <w:color w:val="auto"/>
        </w:rPr>
      </w:pPr>
      <w:r>
        <w:rPr>
          <w:rFonts w:ascii="Arial" w:cs="Arial" w:eastAsia="Arial" w:hAnsi="Arial"/>
          <w:sz w:val="16"/>
          <w:szCs w:val="16"/>
          <w:color w:val="auto"/>
        </w:rPr>
        <w:t>At January 31, 2021, our short-term investment portfolio had an estimated fair value of $85.0 million and a cost basis of $68.5 million. The portfolio fair value consisted of $81.0 million of short-term trading securities that were invested in a defined set of mutual funds as directed by the participants in our Deferred Compensation Plan (see Note 7, “Deferred Compensation,” in the Notes to Consolidated Financial Statements for further discussion).</w:t>
      </w:r>
    </w:p>
    <w:p>
      <w:pPr>
        <w:spacing w:after="0" w:line="181" w:lineRule="exact"/>
        <w:rPr>
          <w:sz w:val="20"/>
          <w:szCs w:val="20"/>
          <w:color w:val="auto"/>
        </w:rPr>
      </w:pPr>
    </w:p>
    <w:p>
      <w:pPr>
        <w:ind w:right="560" w:firstLine="396"/>
        <w:spacing w:after="0" w:line="262" w:lineRule="auto"/>
        <w:rPr>
          <w:sz w:val="20"/>
          <w:szCs w:val="20"/>
          <w:color w:val="auto"/>
        </w:rPr>
      </w:pPr>
      <w:r>
        <w:rPr>
          <w:rFonts w:ascii="Arial" w:cs="Arial" w:eastAsia="Arial" w:hAnsi="Arial"/>
          <w:sz w:val="18"/>
          <w:szCs w:val="18"/>
          <w:color w:val="auto"/>
        </w:rPr>
        <w:t>Net cash used in investing activities was $57.3 million for fiscal 2020 and was primarily due to capital expenditures and purchases of marketable securities. These cash outflows were partially offset by sales and maturities of marketable securities.</w:t>
      </w:r>
    </w:p>
    <w:p>
      <w:pPr>
        <w:spacing w:after="0" w:line="208" w:lineRule="exact"/>
        <w:rPr>
          <w:sz w:val="20"/>
          <w:szCs w:val="20"/>
          <w:color w:val="auto"/>
        </w:rPr>
      </w:pPr>
    </w:p>
    <w:p>
      <w:pPr>
        <w:ind w:right="200" w:firstLine="396"/>
        <w:spacing w:after="0" w:line="262" w:lineRule="auto"/>
        <w:rPr>
          <w:sz w:val="20"/>
          <w:szCs w:val="20"/>
          <w:color w:val="auto"/>
        </w:rPr>
      </w:pPr>
      <w:r>
        <w:rPr>
          <w:rFonts w:ascii="Arial" w:cs="Arial" w:eastAsia="Arial" w:hAnsi="Arial"/>
          <w:sz w:val="18"/>
          <w:szCs w:val="18"/>
          <w:color w:val="auto"/>
        </w:rPr>
        <w:t>Net cash used in financing activities was $1,046.8 million in fiscal 2021 and was primarily due to repurchases of our common stock and repayment of debt. These cash outflows were partially offset by proceeds from the issuance of common stock.</w:t>
      </w:r>
    </w:p>
    <w:p>
      <w:pPr>
        <w:spacing w:after="0" w:line="20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Net cash provided by financing activities was $466.8 million in fiscal 2020 and was primarily due to repayment of debt and repurchases of our common stock and taxes paid related to net share settlement of equity awards. These cash outflows were partially offset by proceeds from debt issuance, net of discount and proceeds from issuance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following table summarizes our significant financial contractual obligations at January 31, 2021, and the effect such obligations are expected to have on our liquidity and cash flows in future periods.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Pr>
          <w:p>
            <w:pPr>
              <w:spacing w:after="0"/>
              <w:rPr>
                <w:sz w:val="14"/>
                <w:szCs w:val="14"/>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9"/>
              </w:rPr>
              <w:t>Thereafter</w:t>
            </w:r>
          </w:p>
        </w:tc>
        <w:tc>
          <w:tcPr>
            <w:tcW w:w="39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2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3"/>
              <w:spacing w:after="0"/>
              <w:rPr>
                <w:sz w:val="20"/>
                <w:szCs w:val="20"/>
                <w:color w:val="auto"/>
              </w:rPr>
            </w:pPr>
            <w:r>
              <w:rPr>
                <w:rFonts w:ascii="Arial" w:cs="Arial" w:eastAsia="Arial" w:hAnsi="Arial"/>
                <w:sz w:val="14"/>
                <w:szCs w:val="14"/>
                <w:b w:val="1"/>
                <w:bCs w:val="1"/>
                <w:color w:val="auto"/>
                <w:w w:val="98"/>
              </w:rPr>
              <w:t>2023-2024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83"/>
              <w:spacing w:after="0"/>
              <w:rPr>
                <w:sz w:val="20"/>
                <w:szCs w:val="20"/>
                <w:color w:val="auto"/>
              </w:rPr>
            </w:pPr>
            <w:r>
              <w:rPr>
                <w:rFonts w:ascii="Arial" w:cs="Arial" w:eastAsia="Arial" w:hAnsi="Arial"/>
                <w:sz w:val="14"/>
                <w:szCs w:val="14"/>
                <w:b w:val="1"/>
                <w:bCs w:val="1"/>
                <w:color w:val="auto"/>
                <w:w w:val="95"/>
              </w:rPr>
              <w:t>2025-2026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Notes payable</w:t>
            </w:r>
          </w:p>
        </w:tc>
        <w:tc>
          <w:tcPr>
            <w:tcW w:w="200" w:type="dxa"/>
            <w:vAlign w:val="bottom"/>
            <w:tcBorders>
              <w:top w:val="single" w:sz="8" w:color="auto"/>
            </w:tcBorders>
            <w:shd w:val="clear" w:color="auto" w:fill="CCEEFF"/>
          </w:tcPr>
          <w:p>
            <w:pPr>
              <w:jc w:val="right"/>
              <w:ind w:right="21"/>
              <w:spacing w:after="0" w:line="155"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2"/>
              <w:spacing w:after="0" w:line="155" w:lineRule="exact"/>
              <w:rPr>
                <w:sz w:val="20"/>
                <w:szCs w:val="20"/>
                <w:color w:val="auto"/>
              </w:rPr>
            </w:pPr>
            <w:r>
              <w:rPr>
                <w:rFonts w:ascii="Arial" w:cs="Arial" w:eastAsia="Arial" w:hAnsi="Arial"/>
                <w:sz w:val="16"/>
                <w:szCs w:val="16"/>
                <w:color w:val="auto"/>
              </w:rPr>
              <w:t>1,970.4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3"/>
              <w:spacing w:after="0" w:line="155" w:lineRule="exact"/>
              <w:rPr>
                <w:sz w:val="20"/>
                <w:szCs w:val="20"/>
                <w:color w:val="auto"/>
              </w:rPr>
            </w:pPr>
            <w:r>
              <w:rPr>
                <w:rFonts w:ascii="Arial" w:cs="Arial" w:eastAsia="Arial" w:hAnsi="Arial"/>
                <w:sz w:val="16"/>
                <w:szCs w:val="16"/>
                <w:color w:val="auto"/>
              </w:rPr>
              <w:t>57.5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3"/>
              <w:spacing w:after="0" w:line="155" w:lineRule="exact"/>
              <w:rPr>
                <w:sz w:val="20"/>
                <w:szCs w:val="20"/>
                <w:color w:val="auto"/>
              </w:rPr>
            </w:pPr>
            <w:r>
              <w:rPr>
                <w:rFonts w:ascii="Arial" w:cs="Arial" w:eastAsia="Arial" w:hAnsi="Arial"/>
                <w:sz w:val="16"/>
                <w:szCs w:val="16"/>
                <w:color w:val="auto"/>
              </w:rPr>
              <w:t>450.8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
              <w:spacing w:after="0" w:line="155" w:lineRule="exact"/>
              <w:rPr>
                <w:sz w:val="20"/>
                <w:szCs w:val="20"/>
                <w:color w:val="auto"/>
              </w:rPr>
            </w:pPr>
            <w:r>
              <w:rPr>
                <w:rFonts w:ascii="Arial" w:cs="Arial" w:eastAsia="Arial" w:hAnsi="Arial"/>
                <w:sz w:val="16"/>
                <w:szCs w:val="16"/>
                <w:color w:val="auto"/>
              </w:rPr>
              <w:t>381.6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1,080.5</w:t>
            </w:r>
          </w:p>
        </w:tc>
        <w:tc>
          <w:tcPr>
            <w:tcW w:w="3920" w:type="dxa"/>
            <w:vAlign w:val="bottom"/>
            <w:tcBorders>
              <w:top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color w:val="auto"/>
                <w:w w:val="88"/>
              </w:rPr>
              <w:t>Notes payable consist of the notes issued in December 2012,</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0"/>
              </w:rPr>
              <w:t>June 2015, June 2017, and January 2020 including interest.</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5"/>
              </w:rPr>
              <w:t>See Part II, Item 8, Note 8, “Borrowing Arrangements,” in</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3"/>
              </w:rPr>
              <w:t>the Notes to Consolidated Financial Statements for further</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discussion.</w:t>
            </w:r>
          </w:p>
        </w:tc>
        <w:tc>
          <w:tcPr>
            <w:tcW w:w="0" w:type="dxa"/>
            <w:vAlign w:val="bottom"/>
          </w:tcPr>
          <w:p>
            <w:pPr>
              <w:spacing w:after="0"/>
              <w:rPr>
                <w:sz w:val="1"/>
                <w:szCs w:val="1"/>
                <w:color w:val="auto"/>
              </w:rPr>
            </w:pPr>
          </w:p>
        </w:tc>
      </w:tr>
      <w:tr>
        <w:trPr>
          <w:trHeight w:val="162"/>
        </w:trPr>
        <w:tc>
          <w:tcPr>
            <w:tcW w:w="2180" w:type="dxa"/>
            <w:vAlign w:val="bottom"/>
          </w:tcPr>
          <w:p>
            <w:pPr>
              <w:spacing w:after="0" w:line="161" w:lineRule="exact"/>
              <w:rPr>
                <w:sz w:val="20"/>
                <w:szCs w:val="20"/>
                <w:color w:val="auto"/>
              </w:rPr>
            </w:pPr>
            <w:r>
              <w:rPr>
                <w:rFonts w:ascii="Arial" w:cs="Arial" w:eastAsia="Arial" w:hAnsi="Arial"/>
                <w:sz w:val="16"/>
                <w:szCs w:val="16"/>
                <w:color w:val="auto"/>
              </w:rPr>
              <w:t>Operating leases</w:t>
            </w:r>
          </w:p>
        </w:tc>
        <w:tc>
          <w:tcPr>
            <w:tcW w:w="200" w:type="dxa"/>
            <w:vAlign w:val="bottom"/>
          </w:tcPr>
          <w:p>
            <w:pPr>
              <w:spacing w:after="0"/>
              <w:rPr>
                <w:sz w:val="14"/>
                <w:szCs w:val="14"/>
                <w:color w:val="auto"/>
              </w:rPr>
            </w:pPr>
          </w:p>
        </w:tc>
        <w:tc>
          <w:tcPr>
            <w:tcW w:w="740" w:type="dxa"/>
            <w:vAlign w:val="bottom"/>
          </w:tcPr>
          <w:p>
            <w:pPr>
              <w:jc w:val="right"/>
              <w:ind w:right="2"/>
              <w:spacing w:after="0" w:line="161" w:lineRule="exact"/>
              <w:rPr>
                <w:sz w:val="20"/>
                <w:szCs w:val="20"/>
                <w:color w:val="auto"/>
              </w:rPr>
            </w:pPr>
            <w:r>
              <w:rPr>
                <w:rFonts w:ascii="Arial" w:cs="Arial" w:eastAsia="Arial" w:hAnsi="Arial"/>
                <w:sz w:val="16"/>
                <w:szCs w:val="16"/>
                <w:color w:val="auto"/>
              </w:rPr>
              <w:t>510.6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line="161" w:lineRule="exact"/>
              <w:rPr>
                <w:sz w:val="20"/>
                <w:szCs w:val="20"/>
                <w:color w:val="auto"/>
              </w:rPr>
            </w:pPr>
            <w:r>
              <w:rPr>
                <w:rFonts w:ascii="Arial" w:cs="Arial" w:eastAsia="Arial" w:hAnsi="Arial"/>
                <w:sz w:val="16"/>
                <w:szCs w:val="16"/>
                <w:color w:val="auto"/>
              </w:rPr>
              <w:t>82.8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line="161" w:lineRule="exact"/>
              <w:rPr>
                <w:sz w:val="20"/>
                <w:szCs w:val="20"/>
                <w:color w:val="auto"/>
              </w:rPr>
            </w:pPr>
            <w:r>
              <w:rPr>
                <w:rFonts w:ascii="Arial" w:cs="Arial" w:eastAsia="Arial" w:hAnsi="Arial"/>
                <w:sz w:val="16"/>
                <w:szCs w:val="16"/>
                <w:color w:val="auto"/>
              </w:rPr>
              <w:t>174.2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
              <w:spacing w:after="0" w:line="161" w:lineRule="exact"/>
              <w:rPr>
                <w:sz w:val="20"/>
                <w:szCs w:val="20"/>
                <w:color w:val="auto"/>
              </w:rPr>
            </w:pPr>
            <w:r>
              <w:rPr>
                <w:rFonts w:ascii="Arial" w:cs="Arial" w:eastAsia="Arial" w:hAnsi="Arial"/>
                <w:sz w:val="16"/>
                <w:szCs w:val="16"/>
                <w:color w:val="auto"/>
              </w:rPr>
              <w:t>104.5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149.1</w:t>
            </w:r>
          </w:p>
        </w:tc>
        <w:tc>
          <w:tcPr>
            <w:tcW w:w="3920" w:type="dxa"/>
            <w:vAlign w:val="bottom"/>
          </w:tcPr>
          <w:p>
            <w:pPr>
              <w:ind w:left="40"/>
              <w:spacing w:after="0" w:line="161" w:lineRule="exact"/>
              <w:rPr>
                <w:sz w:val="20"/>
                <w:szCs w:val="20"/>
                <w:color w:val="auto"/>
              </w:rPr>
            </w:pPr>
            <w:r>
              <w:rPr>
                <w:rFonts w:ascii="Arial" w:cs="Arial" w:eastAsia="Arial" w:hAnsi="Arial"/>
                <w:sz w:val="16"/>
                <w:szCs w:val="16"/>
                <w:color w:val="auto"/>
                <w:w w:val="93"/>
              </w:rPr>
              <w:t>Operating lease obligations consist primarily of obligations</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w w:val="91"/>
              </w:rPr>
              <w:t>for real estate, vehicles, and certain equipment. See Part II,</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rPr>
              <w:t>Item 8, Note 9, “Leases,” in the Notes to Consolidated</w:t>
            </w: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Financial Statements for further discussion.</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Purchase obligations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118.2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1.3</w:t>
            </w:r>
          </w:p>
        </w:tc>
        <w:tc>
          <w:tcPr>
            <w:tcW w:w="3920" w:type="dxa"/>
            <w:vAlign w:val="bottom"/>
            <w:shd w:val="clear" w:color="auto" w:fill="CCEEFF"/>
          </w:tcPr>
          <w:p>
            <w:pPr>
              <w:ind w:left="40"/>
              <w:spacing w:after="0" w:line="165" w:lineRule="exact"/>
              <w:rPr>
                <w:sz w:val="20"/>
                <w:szCs w:val="20"/>
                <w:color w:val="auto"/>
              </w:rPr>
            </w:pPr>
            <w:r>
              <w:rPr>
                <w:rFonts w:ascii="Arial" w:cs="Arial" w:eastAsia="Arial" w:hAnsi="Arial"/>
                <w:sz w:val="16"/>
                <w:szCs w:val="16"/>
                <w:color w:val="auto"/>
              </w:rPr>
              <w:t>Purchase obligations are contractual obligations for</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87"/>
              </w:rPr>
              <w:t>purchase of goods or services and are defined as agreements</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6"/>
              </w:rPr>
              <w:t>that are enforceable and legally binding to Autodesk and</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rPr>
              <w:t>that specify all significant terms, including: fixed or</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7"/>
              </w:rPr>
              <w:t>minimum quantities to be purchased; fixed, minimum, or</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2"/>
              </w:rPr>
              <w:t>variable price provisions; and the approximate timing of the</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rPr>
              <w:t>transaction. Purchase obligations relate primarily to</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5"/>
              </w:rPr>
              <w:t>acquisition of cloud services, IT infrastructure, marketing,</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0"/>
              </w:rPr>
              <w:t>and commitments related to our investment agreements with</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limited liability partnership funds.</w:t>
            </w:r>
          </w:p>
        </w:tc>
        <w:tc>
          <w:tcPr>
            <w:tcW w:w="0" w:type="dxa"/>
            <w:vAlign w:val="bottom"/>
          </w:tcPr>
          <w:p>
            <w:pPr>
              <w:spacing w:after="0"/>
              <w:rPr>
                <w:sz w:val="1"/>
                <w:szCs w:val="1"/>
                <w:color w:val="auto"/>
              </w:rPr>
            </w:pPr>
          </w:p>
        </w:tc>
      </w:tr>
      <w:tr>
        <w:trPr>
          <w:trHeight w:val="162"/>
        </w:trPr>
        <w:tc>
          <w:tcPr>
            <w:tcW w:w="2180" w:type="dxa"/>
            <w:vAlign w:val="bottom"/>
          </w:tcPr>
          <w:p>
            <w:pPr>
              <w:spacing w:after="0" w:line="161" w:lineRule="exact"/>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4"/>
                <w:szCs w:val="14"/>
                <w:color w:val="auto"/>
              </w:rPr>
            </w:pPr>
          </w:p>
        </w:tc>
        <w:tc>
          <w:tcPr>
            <w:tcW w:w="740" w:type="dxa"/>
            <w:vAlign w:val="bottom"/>
          </w:tcPr>
          <w:p>
            <w:pPr>
              <w:jc w:val="right"/>
              <w:ind w:right="2"/>
              <w:spacing w:after="0" w:line="161" w:lineRule="exact"/>
              <w:rPr>
                <w:sz w:val="20"/>
                <w:szCs w:val="20"/>
                <w:color w:val="auto"/>
              </w:rPr>
            </w:pPr>
            <w:r>
              <w:rPr>
                <w:rFonts w:ascii="Arial" w:cs="Arial" w:eastAsia="Arial" w:hAnsi="Arial"/>
                <w:sz w:val="16"/>
                <w:szCs w:val="16"/>
                <w:color w:val="auto"/>
              </w:rPr>
              <w:t>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line="161" w:lineRule="exact"/>
              <w:rPr>
                <w:sz w:val="20"/>
                <w:szCs w:val="20"/>
                <w:color w:val="auto"/>
              </w:rPr>
            </w:pPr>
            <w:r>
              <w:rPr>
                <w:rFonts w:ascii="Arial" w:cs="Arial" w:eastAsia="Arial" w:hAnsi="Arial"/>
                <w:sz w:val="16"/>
                <w:szCs w:val="16"/>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line="161" w:lineRule="exact"/>
              <w:rPr>
                <w:sz w:val="20"/>
                <w:szCs w:val="20"/>
                <w:color w:val="auto"/>
              </w:rPr>
            </w:pPr>
            <w:r>
              <w:rPr>
                <w:rFonts w:ascii="Arial" w:cs="Arial" w:eastAsia="Arial" w:hAnsi="Arial"/>
                <w:sz w:val="16"/>
                <w:szCs w:val="16"/>
                <w:color w:val="auto"/>
              </w:rPr>
              <w:t>12.7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
              <w:spacing w:after="0" w:line="161" w:lineRule="exact"/>
              <w:rPr>
                <w:sz w:val="20"/>
                <w:szCs w:val="20"/>
                <w:color w:val="auto"/>
              </w:rPr>
            </w:pPr>
            <w:r>
              <w:rPr>
                <w:rFonts w:ascii="Arial" w:cs="Arial" w:eastAsia="Arial" w:hAnsi="Arial"/>
                <w:sz w:val="16"/>
                <w:szCs w:val="16"/>
                <w:color w:val="auto"/>
              </w:rPr>
              <w:t>12.8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48.2</w:t>
            </w:r>
          </w:p>
        </w:tc>
        <w:tc>
          <w:tcPr>
            <w:tcW w:w="3920" w:type="dxa"/>
            <w:vAlign w:val="bottom"/>
          </w:tcPr>
          <w:p>
            <w:pPr>
              <w:ind w:left="40"/>
              <w:spacing w:after="0" w:line="161" w:lineRule="exact"/>
              <w:rPr>
                <w:sz w:val="20"/>
                <w:szCs w:val="20"/>
                <w:color w:val="auto"/>
              </w:rPr>
            </w:pPr>
            <w:r>
              <w:rPr>
                <w:rFonts w:ascii="Arial" w:cs="Arial" w:eastAsia="Arial" w:hAnsi="Arial"/>
                <w:sz w:val="16"/>
                <w:szCs w:val="16"/>
                <w:color w:val="auto"/>
                <w:w w:val="90"/>
              </w:rPr>
              <w:t>Deferred compensation obligations relate to amounts held in</w:t>
            </w:r>
          </w:p>
        </w:tc>
        <w:tc>
          <w:tcPr>
            <w:tcW w:w="0" w:type="dxa"/>
            <w:vAlign w:val="bottom"/>
          </w:tcPr>
          <w:p>
            <w:pPr>
              <w:spacing w:after="0"/>
              <w:rPr>
                <w:sz w:val="1"/>
                <w:szCs w:val="1"/>
                <w:color w:val="auto"/>
              </w:rPr>
            </w:pPr>
          </w:p>
        </w:tc>
      </w:tr>
      <w:tr>
        <w:trPr>
          <w:trHeight w:val="158"/>
        </w:trPr>
        <w:tc>
          <w:tcPr>
            <w:tcW w:w="2180" w:type="dxa"/>
            <w:vAlign w:val="bottom"/>
          </w:tcPr>
          <w:p>
            <w:pPr>
              <w:spacing w:after="0" w:line="158" w:lineRule="exact"/>
              <w:rPr>
                <w:sz w:val="20"/>
                <w:szCs w:val="20"/>
                <w:color w:val="auto"/>
              </w:rPr>
            </w:pPr>
            <w:r>
              <w:rPr>
                <w:rFonts w:ascii="Arial" w:cs="Arial" w:eastAsia="Arial" w:hAnsi="Arial"/>
                <w:sz w:val="16"/>
                <w:szCs w:val="16"/>
                <w:color w:val="auto"/>
              </w:rPr>
              <w:t>obligations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w w:val="91"/>
              </w:rPr>
              <w:t>a rabbi trust under our non-qualified deferred compensation</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w w:val="92"/>
              </w:rPr>
              <w:t>plan. See Part II, Item 8, Note 7, “Deferred Compensation,”</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rPr>
              <w:t>in our Notes to Consolidated Financial Statements for</w:t>
            </w: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further information regarding this plan.</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Pension obligations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17.1</w:t>
            </w:r>
          </w:p>
        </w:tc>
        <w:tc>
          <w:tcPr>
            <w:tcW w:w="3920" w:type="dxa"/>
            <w:vAlign w:val="bottom"/>
            <w:shd w:val="clear" w:color="auto" w:fill="CCEEFF"/>
          </w:tcPr>
          <w:p>
            <w:pPr>
              <w:ind w:left="40"/>
              <w:spacing w:after="0" w:line="165" w:lineRule="exact"/>
              <w:rPr>
                <w:sz w:val="20"/>
                <w:szCs w:val="20"/>
                <w:color w:val="auto"/>
              </w:rPr>
            </w:pPr>
            <w:r>
              <w:rPr>
                <w:rFonts w:ascii="Arial" w:cs="Arial" w:eastAsia="Arial" w:hAnsi="Arial"/>
                <w:sz w:val="16"/>
                <w:szCs w:val="16"/>
                <w:color w:val="auto"/>
                <w:w w:val="98"/>
              </w:rPr>
              <w:t>Pension obligations relate to our obligations for pension</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1"/>
              </w:rPr>
              <w:t>plans outside of the United States. See Part II, Item 8, Note</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rPr>
              <w:t>15, “Retirement Benefit Plans,” in our Notes to</w:t>
            </w: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w w:val="95"/>
              </w:rPr>
              <w:t>Consolidated Financial Statements for further information</w:t>
            </w: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regarding these obligations.</w:t>
            </w:r>
          </w:p>
        </w:tc>
        <w:tc>
          <w:tcPr>
            <w:tcW w:w="0" w:type="dxa"/>
            <w:vAlign w:val="bottom"/>
          </w:tcPr>
          <w:p>
            <w:pPr>
              <w:spacing w:after="0"/>
              <w:rPr>
                <w:sz w:val="1"/>
                <w:szCs w:val="1"/>
                <w:color w:val="auto"/>
              </w:rPr>
            </w:pPr>
          </w:p>
        </w:tc>
      </w:tr>
      <w:tr>
        <w:trPr>
          <w:trHeight w:val="162"/>
        </w:trPr>
        <w:tc>
          <w:tcPr>
            <w:tcW w:w="2180" w:type="dxa"/>
            <w:vAlign w:val="bottom"/>
          </w:tcPr>
          <w:p>
            <w:pPr>
              <w:spacing w:after="0" w:line="161"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4"/>
                <w:szCs w:val="14"/>
                <w:color w:val="auto"/>
              </w:rPr>
            </w:pPr>
          </w:p>
        </w:tc>
        <w:tc>
          <w:tcPr>
            <w:tcW w:w="740" w:type="dxa"/>
            <w:vAlign w:val="bottom"/>
          </w:tcPr>
          <w:p>
            <w:pPr>
              <w:jc w:val="right"/>
              <w:ind w:right="2"/>
              <w:spacing w:after="0" w:line="161" w:lineRule="exact"/>
              <w:rPr>
                <w:sz w:val="20"/>
                <w:szCs w:val="20"/>
                <w:color w:val="auto"/>
              </w:rPr>
            </w:pPr>
            <w:r>
              <w:rPr>
                <w:rFonts w:ascii="Arial" w:cs="Arial" w:eastAsia="Arial" w:hAnsi="Arial"/>
                <w:sz w:val="16"/>
                <w:szCs w:val="16"/>
                <w:color w:val="auto"/>
              </w:rPr>
              <w:t>10.9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line="161" w:lineRule="exact"/>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line="161"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
              <w:spacing w:after="0" w:line="161" w:lineRule="exact"/>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2.2</w:t>
            </w:r>
          </w:p>
        </w:tc>
        <w:tc>
          <w:tcPr>
            <w:tcW w:w="3920" w:type="dxa"/>
            <w:vAlign w:val="bottom"/>
          </w:tcPr>
          <w:p>
            <w:pPr>
              <w:ind w:left="40"/>
              <w:spacing w:after="0" w:line="161" w:lineRule="exact"/>
              <w:rPr>
                <w:sz w:val="20"/>
                <w:szCs w:val="20"/>
                <w:color w:val="auto"/>
              </w:rPr>
            </w:pPr>
            <w:r>
              <w:rPr>
                <w:rFonts w:ascii="Arial" w:cs="Arial" w:eastAsia="Arial" w:hAnsi="Arial"/>
                <w:sz w:val="16"/>
                <w:szCs w:val="16"/>
                <w:color w:val="auto"/>
                <w:w w:val="89"/>
              </w:rPr>
              <w:t>Asset retirement obligations represent the estimated costs to</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ind w:left="40"/>
              <w:spacing w:after="0" w:line="158" w:lineRule="exact"/>
              <w:rPr>
                <w:sz w:val="20"/>
                <w:szCs w:val="20"/>
                <w:color w:val="auto"/>
              </w:rPr>
            </w:pPr>
            <w:r>
              <w:rPr>
                <w:rFonts w:ascii="Arial" w:cs="Arial" w:eastAsia="Arial" w:hAnsi="Arial"/>
                <w:sz w:val="16"/>
                <w:szCs w:val="16"/>
                <w:color w:val="auto"/>
                <w:w w:val="99"/>
              </w:rPr>
              <w:t>bring certain office buildings that we lease back to their</w:t>
            </w:r>
          </w:p>
        </w:tc>
        <w:tc>
          <w:tcPr>
            <w:tcW w:w="0" w:type="dxa"/>
            <w:vAlign w:val="bottom"/>
          </w:tcPr>
          <w:p>
            <w:pPr>
              <w:spacing w:after="0"/>
              <w:rPr>
                <w:sz w:val="1"/>
                <w:szCs w:val="1"/>
                <w:color w:val="auto"/>
              </w:rPr>
            </w:pPr>
          </w:p>
        </w:tc>
      </w:tr>
      <w:tr>
        <w:trPr>
          <w:trHeight w:val="204"/>
        </w:trPr>
        <w:tc>
          <w:tcPr>
            <w:tcW w:w="2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original condition after the termination of the lease.</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(1)</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2,979.5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1,298.4</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right="220" w:hanging="394"/>
        <w:spacing w:after="0" w:line="270" w:lineRule="auto"/>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This table generally excludes amounts already recorded on the balance sheet as current liabilities, certain purchase obligations as discussed below, long term deferred revenue, and amounts related to income tax accruals for uncertain tax positions, since we cannot predict with reasonable reliability the timing of cash settlements to the respective taxing authorities (see Part II, Item 8, Note 5, “Income Taxes” in the Notes to Consolidated Financial Statements).</w:t>
      </w:r>
    </w:p>
    <w:p>
      <w:pPr>
        <w:spacing w:after="0" w:line="198" w:lineRule="exact"/>
        <w:rPr>
          <w:sz w:val="20"/>
          <w:szCs w:val="20"/>
          <w:color w:val="auto"/>
        </w:rPr>
      </w:pPr>
    </w:p>
    <w:p>
      <w:pPr>
        <w:ind w:right="160" w:firstLine="435"/>
        <w:spacing w:after="0" w:line="248"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220" w:lineRule="exact"/>
        <w:rPr>
          <w:sz w:val="20"/>
          <w:szCs w:val="20"/>
          <w:color w:val="auto"/>
        </w:rPr>
      </w:pPr>
    </w:p>
    <w:p>
      <w:pPr>
        <w:ind w:right="180" w:firstLine="435"/>
        <w:spacing w:after="0" w:line="325" w:lineRule="auto"/>
        <w:rPr>
          <w:sz w:val="20"/>
          <w:szCs w:val="20"/>
          <w:color w:val="auto"/>
        </w:rPr>
      </w:pPr>
      <w:r>
        <w:rPr>
          <w:rFonts w:ascii="Arial" w:cs="Arial" w:eastAsia="Arial" w:hAnsi="Arial"/>
          <w:sz w:val="16"/>
          <w:szCs w:val="16"/>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60" w:firstLine="435"/>
        <w:spacing w:after="0" w:line="253"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ind w:firstLine="435"/>
        <w:spacing w:after="0" w:line="285"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93"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During the three and 12 months ended January 31, 2021, we repurchased 0.5 million and 2.6 million shares of our common stock, respectively. At January 31, 2021, 12.1 million shares remained available for repurchase under the repurchase program approved by the Board of Directors. This program does not have a fixed expiration date. See Part II, Item 8, Note 11, “Stock Repurchase Program,” in the Notes to Consolidated Financial Statements for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January 31, 2021, we did not have any significant off-balance sheet arrangements as defined in Item 303(a)(4)(ii)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6"/>
          <w:szCs w:val="16"/>
          <w:b w:val="1"/>
          <w:bCs w:val="1"/>
          <w:color w:val="0696D7"/>
        </w:rPr>
        <w:t>QUANTITATIVE AND QUALITATIVE DISCLOSURES ABOUT MARKET RISK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2021 and 2020, we had open cash flow and balance sheet hedge contracts with future settlements generally within one to 12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$1.57 billion and $1.72 billion at January 31, 2021 and 2020, respectively.</w:t>
      </w:r>
    </w:p>
    <w:p>
      <w:pPr>
        <w:spacing w:after="0" w:line="196" w:lineRule="exact"/>
        <w:rPr>
          <w:sz w:val="20"/>
          <w:szCs w:val="20"/>
          <w:color w:val="auto"/>
        </w:rPr>
      </w:pPr>
    </w:p>
    <w:p>
      <w:pPr>
        <w:ind w:right="60" w:firstLine="435"/>
        <w:spacing w:after="0" w:line="249"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2021, indicated that a hypothetical 10% appreciation of the U.S. dollar from its value at January 31, 2021 and 2020, would increase the fair value of our foreign currency contracts by $118.6 million and $158.8 million, respectively. A hypothetical 10% depreciation of the dollar from its value at January 31, 2021 and 2020, would decrease the fair value of our foreign currency contracts by $149.2 million and $119.2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396"/>
        <w:spacing w:after="0" w:line="250"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 term securities. At January 31, 2021, we had $812.3 million of cash equivalents and marketable securities, including $85.0 million classified as short-term marketable securities. If interest rates were to move up by 50 or 100 basis points over a 12-month period, the market value change of our marketable securities would not have a material impact on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47" w:lineRule="exact"/>
        <w:rPr>
          <w:sz w:val="20"/>
          <w:szCs w:val="20"/>
          <w:color w:val="auto"/>
        </w:rPr>
      </w:pPr>
    </w:p>
    <w:p>
      <w:pPr>
        <w:ind w:firstLine="396"/>
        <w:spacing w:after="0" w:line="285" w:lineRule="auto"/>
        <w:rPr>
          <w:sz w:val="20"/>
          <w:szCs w:val="20"/>
          <w:color w:val="auto"/>
        </w:rPr>
      </w:pPr>
      <w:r>
        <w:rPr>
          <w:rFonts w:ascii="Arial" w:cs="Arial" w:eastAsia="Arial" w:hAnsi="Arial"/>
          <w:sz w:val="16"/>
          <w:szCs w:val="16"/>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these strategic investments.</w:t>
      </w:r>
    </w:p>
    <w:p>
      <w:pPr>
        <w:spacing w:after="0" w:line="193" w:lineRule="exact"/>
        <w:rPr>
          <w:sz w:val="20"/>
          <w:szCs w:val="20"/>
          <w:color w:val="auto"/>
        </w:rPr>
      </w:pPr>
    </w:p>
    <w:p>
      <w:pPr>
        <w:ind w:right="360" w:firstLine="396"/>
        <w:spacing w:after="0" w:line="262" w:lineRule="auto"/>
        <w:rPr>
          <w:sz w:val="20"/>
          <w:szCs w:val="20"/>
          <w:color w:val="auto"/>
        </w:rPr>
      </w:pPr>
      <w:r>
        <w:rPr>
          <w:rFonts w:ascii="Arial" w:cs="Arial" w:eastAsia="Arial" w:hAnsi="Arial"/>
          <w:sz w:val="18"/>
          <w:szCs w:val="18"/>
          <w:color w:val="auto"/>
        </w:rPr>
        <w:t>For information about exposure to counter-party credit-related losses, see Part II, Item 8, Note 1, “Business and Summary of Significant Accounting Policies -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6"/>
          <w:szCs w:val="16"/>
          <w:b w:val="1"/>
          <w:bCs w:val="1"/>
          <w:color w:val="0696D7"/>
        </w:rPr>
        <w:t>FINANCIAL STATEMENTS AND SUPPLEMENTARY DATA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4"/>
        </w:trPr>
        <w:tc>
          <w:tcPr>
            <w:tcW w:w="674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3,478.9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1,802.3</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Maintenance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635.1</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subscription and maintenance revenue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2,437.4</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3,790.4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0" w:type="dxa"/>
            <w:vAlign w:val="bottom"/>
          </w:tcPr>
          <w:p>
            <w:pPr>
              <w:spacing w:after="0"/>
              <w:rPr>
                <w:sz w:val="1"/>
                <w:szCs w:val="1"/>
                <w:color w:val="auto"/>
              </w:rPr>
            </w:pPr>
          </w:p>
        </w:tc>
      </w:tr>
      <w:tr>
        <w:trPr>
          <w:trHeight w:val="188"/>
        </w:trPr>
        <w:tc>
          <w:tcPr>
            <w:tcW w:w="67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subscription and maintenance revenue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8"/>
        </w:trPr>
        <w:tc>
          <w:tcPr>
            <w:tcW w:w="6740" w:type="dxa"/>
            <w:vAlign w:val="bottom"/>
          </w:tcPr>
          <w:p>
            <w:pPr>
              <w:ind w:left="340"/>
              <w:spacing w:after="0"/>
              <w:rPr>
                <w:sz w:val="20"/>
                <w:szCs w:val="20"/>
                <w:color w:val="auto"/>
              </w:rPr>
            </w:pPr>
            <w:r>
              <w:rPr>
                <w:rFonts w:ascii="Arial" w:cs="Arial" w:eastAsia="Arial" w:hAnsi="Arial"/>
                <w:sz w:val="16"/>
                <w:szCs w:val="16"/>
                <w:color w:val="auto"/>
              </w:rPr>
              <w:t>Cost of other revenue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1"/>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cost of revenue</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2,283.9</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Marketing and sales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1,183.9</w:t>
            </w:r>
          </w:p>
        </w:tc>
        <w:tc>
          <w:tcPr>
            <w:tcW w:w="0" w:type="dxa"/>
            <w:vAlign w:val="bottom"/>
          </w:tcPr>
          <w:p>
            <w:pPr>
              <w:spacing w:after="0"/>
              <w:rPr>
                <w:sz w:val="1"/>
                <w:szCs w:val="1"/>
                <w:color w:val="auto"/>
              </w:rPr>
            </w:pPr>
          </w:p>
        </w:tc>
      </w:tr>
      <w:tr>
        <w:trPr>
          <w:trHeight w:val="208"/>
        </w:trPr>
        <w:tc>
          <w:tcPr>
            <w:tcW w:w="67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08"/>
        </w:trPr>
        <w:tc>
          <w:tcPr>
            <w:tcW w:w="674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1"/>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2,824.2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2,606.4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2,308.9</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 net</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net income (loss)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4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net income (loss) per share</w:t>
            </w: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used in computing basic net income (loss)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40" w:type="dxa"/>
            <w:vAlign w:val="bottom"/>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 average shares used in computing diluted net income (loss) per share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AUTODESK,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422"/>
              <w:spacing w:after="0"/>
              <w:rPr>
                <w:sz w:val="20"/>
                <w:szCs w:val="20"/>
                <w:color w:val="auto"/>
              </w:rPr>
            </w:pPr>
            <w:r>
              <w:rPr>
                <w:rFonts w:ascii="Arial" w:cs="Arial" w:eastAsia="Arial" w:hAnsi="Arial"/>
                <w:sz w:val="14"/>
                <w:szCs w:val="14"/>
                <w:b w:val="1"/>
                <w:bCs w:val="1"/>
                <w:color w:val="auto"/>
              </w:rPr>
              <w:t>Fiscal year ended January 31,</w:t>
            </w:r>
          </w:p>
        </w:tc>
      </w:tr>
      <w:tr>
        <w:trPr>
          <w:trHeight w:val="183"/>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2019</w:t>
            </w:r>
          </w:p>
        </w:tc>
      </w:tr>
      <w:tr>
        <w:trPr>
          <w:trHeight w:val="20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auto"/>
              </w:rPr>
              <w:t>Other comprehensive income (loss), net of reclassifications: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8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gain on derivative instruments (net of tax effect of $5.0, ($1.1), and ($1.1))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8"/>
        </w:trPr>
        <w:tc>
          <w:tcPr>
            <w:tcW w:w="8360" w:type="dxa"/>
            <w:vAlign w:val="bottom"/>
          </w:tcPr>
          <w:p>
            <w:pPr>
              <w:ind w:left="220"/>
              <w:spacing w:after="0"/>
              <w:rPr>
                <w:sz w:val="20"/>
                <w:szCs w:val="20"/>
                <w:color w:val="auto"/>
              </w:rPr>
            </w:pPr>
            <w:r>
              <w:rPr>
                <w:rFonts w:ascii="Arial" w:cs="Arial" w:eastAsia="Arial" w:hAnsi="Arial"/>
                <w:sz w:val="16"/>
                <w:szCs w:val="16"/>
                <w:color w:val="auto"/>
              </w:rPr>
              <w:t>Change in net unrealized gain on available-for-sale securities (net of tax effect of $0.1, ($0.4), and $0.0)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8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defined benefit pension items (net of tax effect of ($0.3), $1.6, and ($2.0))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8"/>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cumulative foreign currency translation gain (loss) (net of tax effect of ($0.6), $0.1, and $0.5)</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r>
      <w:tr>
        <w:trPr>
          <w:trHeight w:val="204"/>
        </w:trPr>
        <w:tc>
          <w:tcPr>
            <w:tcW w:w="8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auto"/>
              </w:rPr>
              <w:t>Total comprehensive income (loss)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200" w:type="dxa"/>
            <w:vAlign w:val="bottom"/>
          </w:tcPr>
          <w:p>
            <w:pPr>
              <w:jc w:val="right"/>
              <w:ind w:right="281"/>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8260" w:type="dxa"/>
            <w:vAlign w:val="bottom"/>
          </w:tcPr>
          <w:p>
            <w:pPr>
              <w:ind w:left="38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1,774.7</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652.3</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201"/>
        </w:trPr>
        <w:tc>
          <w:tcPr>
            <w:tcW w:w="826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2,659.3</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2,445.0</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other assets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4"/>
                <w:szCs w:val="14"/>
                <w:b w:val="1"/>
                <w:bCs w:val="1"/>
                <w:color w:val="auto"/>
              </w:rPr>
              <w:t>LIABILITIES AND STOCKHOLDERS’ EQUITY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2,176.1</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notes payable, net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3,219.2</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831.0</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income taxes payable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notes payable,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1,635.1</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w w:val="97"/>
              </w:rPr>
              <w:t>Preferred stock, $0.01 par value; shares authorized 2.0; none issued or outstanding at January 31, 2021 and 2020</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26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6"/>
              </w:rPr>
              <w:t>Common stock and additional paid-in capital, $0.01 par value; shares authorized 750.0; 219.6 and 219.4 issued and</w:t>
            </w: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2,578.9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2,317.0</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at January 31, 2021 and 2020, respectively</w:t>
            </w: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 (deficit)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AUTODESK,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4"/>
                <w:szCs w:val="14"/>
                <w:b w:val="1"/>
                <w:bCs w:val="1"/>
                <w:color w:val="auto"/>
              </w:rPr>
              <w:t>Fiscal year ended January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19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marketable securities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developed technologies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Business combinations, net of cash acquired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(1,040.2)</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(710.4)</w:t>
            </w:r>
          </w:p>
        </w:tc>
        <w:tc>
          <w:tcPr>
            <w:tcW w:w="0" w:type="dxa"/>
            <w:vAlign w:val="bottom"/>
          </w:tcPr>
          <w:p>
            <w:pPr>
              <w:spacing w:after="0"/>
              <w:rPr>
                <w:sz w:val="1"/>
                <w:szCs w:val="1"/>
                <w:color w:val="auto"/>
              </w:rPr>
            </w:pPr>
          </w:p>
        </w:tc>
      </w:tr>
      <w:tr>
        <w:trPr>
          <w:trHeight w:val="188"/>
        </w:trPr>
        <w:tc>
          <w:tcPr>
            <w:tcW w:w="76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 net of issuance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and retirement of common stock</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debt, net of discount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year for interest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paid for income taxes, net of tax refunds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Non-cash investing and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line="181"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tcBorders>
              <w:bottom w:val="single" w:sz="8" w:color="CCEEFF"/>
            </w:tcBorders>
            <w:shd w:val="clear" w:color="auto" w:fill="CCEEFF"/>
          </w:tcPr>
          <w:p>
            <w:pPr>
              <w:ind w:left="340"/>
              <w:spacing w:after="0" w:line="181" w:lineRule="exact"/>
              <w:rPr>
                <w:sz w:val="20"/>
                <w:szCs w:val="20"/>
                <w:color w:val="auto"/>
              </w:rPr>
            </w:pPr>
            <w:r>
              <w:rPr>
                <w:rFonts w:ascii="Arial" w:cs="Arial" w:eastAsia="Arial" w:hAnsi="Arial"/>
                <w:sz w:val="16"/>
                <w:szCs w:val="16"/>
                <w:color w:val="auto"/>
              </w:rPr>
              <w:t>Fair value of equity awards assumed (See Note 6)</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40"/>
              <w:spacing w:after="0"/>
              <w:rPr>
                <w:sz w:val="20"/>
                <w:szCs w:val="20"/>
                <w:color w:val="auto"/>
              </w:rPr>
            </w:pPr>
            <w:r>
              <w:rPr>
                <w:rFonts w:ascii="Arial" w:cs="Arial" w:eastAsia="Arial" w:hAnsi="Arial"/>
                <w:sz w:val="16"/>
                <w:szCs w:val="16"/>
                <w:color w:val="auto"/>
              </w:rPr>
              <w:t>Fair value of common stock issued related to business combination (See Note 6)</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00" w:type="dxa"/>
            <w:vAlign w:val="bottom"/>
            <w:vMerge w:val="continue"/>
          </w:tcPr>
          <w:p>
            <w:pPr>
              <w:spacing w:after="0"/>
              <w:rPr>
                <w:sz w:val="15"/>
                <w:szCs w:val="15"/>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5"/>
                <w:szCs w:val="15"/>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3"/>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AUTODESK, INC.</w:t>
      </w:r>
    </w:p>
    <w:p>
      <w:pPr>
        <w:spacing w:after="0" w:line="5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Common stock and additional paid-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4780" w:type="dxa"/>
            <w:vAlign w:val="bottom"/>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Total stockholders'</w:t>
            </w:r>
          </w:p>
        </w:tc>
      </w:tr>
      <w:tr>
        <w:trPr>
          <w:trHeight w:val="191"/>
        </w:trPr>
        <w:tc>
          <w:tcPr>
            <w:tcW w:w="478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9"/>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16"/>
                <w:szCs w:val="16"/>
                <w:color w:val="auto"/>
              </w:rPr>
            </w:pPr>
          </w:p>
        </w:tc>
        <w:tc>
          <w:tcPr>
            <w:tcW w:w="114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(deficit) equity</w:t>
            </w:r>
          </w:p>
        </w:tc>
      </w:tr>
      <w:tr>
        <w:trPr>
          <w:trHeight w:val="205"/>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Common stock issued under stock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Pre-combination expense related to equity awards assumed</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adoption of accounting standards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 as consideration for business combination</w:t>
            </w: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r>
      <w:tr>
        <w:trPr>
          <w:trHeight w:val="201"/>
        </w:trPr>
        <w:tc>
          <w:tcPr>
            <w:tcW w:w="4780" w:type="dxa"/>
            <w:vAlign w:val="bottom"/>
          </w:tcPr>
          <w:p>
            <w:pPr>
              <w:ind w:left="20"/>
              <w:spacing w:after="0"/>
              <w:rPr>
                <w:sz w:val="20"/>
                <w:szCs w:val="20"/>
                <w:color w:val="auto"/>
              </w:rPr>
            </w:pPr>
            <w:r>
              <w:rPr>
                <w:rFonts w:ascii="Arial" w:cs="Arial" w:eastAsia="Arial" w:hAnsi="Arial"/>
                <w:sz w:val="16"/>
                <w:szCs w:val="16"/>
                <w:color w:val="auto"/>
              </w:rPr>
              <w:t>Balances, January 31, 2019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2,071.5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under stock plans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332.7</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liability-classified restricted stock units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Pre-combination expense related to equity awards assumed</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adoption of accounting standards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214.5</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(455.5)</w:t>
            </w:r>
          </w:p>
        </w:tc>
      </w:tr>
      <w:tr>
        <w:trPr>
          <w:trHeight w:val="208"/>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Common stock issued under stock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Settlement of liability-classified restricted stock units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Pre-combination expense related to equity awards assumed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1,208.2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 related to business combination</w:t>
            </w: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w:t>
            </w:r>
          </w:p>
        </w:tc>
      </w:tr>
      <w:tr>
        <w:trPr>
          <w:trHeight w:val="201"/>
        </w:trPr>
        <w:tc>
          <w:tcPr>
            <w:tcW w:w="4780" w:type="dxa"/>
            <w:vAlign w:val="bottom"/>
          </w:tcPr>
          <w:p>
            <w:pPr>
              <w:ind w:left="20"/>
              <w:spacing w:after="0"/>
              <w:rPr>
                <w:sz w:val="20"/>
                <w:szCs w:val="20"/>
                <w:color w:val="auto"/>
              </w:rPr>
            </w:pPr>
            <w:r>
              <w:rPr>
                <w:rFonts w:ascii="Arial" w:cs="Arial" w:eastAsia="Arial" w:hAnsi="Arial"/>
                <w:sz w:val="16"/>
                <w:szCs w:val="16"/>
                <w:color w:val="auto"/>
              </w:rPr>
              <w:t>Balances, January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2,578.9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965.5</w:t>
            </w:r>
          </w:p>
        </w:tc>
      </w:tr>
      <w:tr>
        <w:trPr>
          <w:trHeight w:val="23"/>
        </w:trPr>
        <w:tc>
          <w:tcPr>
            <w:tcW w:w="4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AUTODESK, INC.</w:t>
      </w:r>
    </w:p>
    <w:p>
      <w:pPr>
        <w:spacing w:after="0" w:line="9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January 31, 2021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24" w:lineRule="exact"/>
        <w:rPr>
          <w:sz w:val="20"/>
          <w:szCs w:val="20"/>
          <w:color w:val="auto"/>
        </w:rPr>
      </w:pPr>
    </w:p>
    <w:p>
      <w:pPr>
        <w:ind w:right="6560" w:firstLine="6"/>
        <w:spacing w:after="0" w:line="269" w:lineRule="auto"/>
        <w:tabs>
          <w:tab w:leader="none" w:pos="35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i w:val="1"/>
          <w:iCs w:val="1"/>
          <w:u w:val="single" w:color="auto"/>
          <w:color w:val="32BCAD"/>
        </w:rPr>
        <w:t>Business</w:t>
      </w:r>
    </w:p>
    <w:p>
      <w:pPr>
        <w:spacing w:after="0" w:line="201"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offered through a hybrid of desktop and cloud functionality,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Principles of Consolidation</w:t>
      </w:r>
    </w:p>
    <w:p>
      <w:pPr>
        <w:spacing w:after="0" w:line="241"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Autodesk and its wholly owned subsidiaries. All intercompany accounts and transactions have been eliminated.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Use of Estimates</w:t>
      </w:r>
    </w:p>
    <w:p>
      <w:pPr>
        <w:spacing w:after="0" w:line="241"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 In March 2020, the World Health Organization declared the outbreak of a disease caused by a novel strain of the coronavirus (COVID-19) to be a pandemic. This pandemic has created and may continue to create significant uncertainty in the macroeconomic environment which, in addition to other unforeseen effects of this pandemic, may adversely impact our results of operations. As the COVID-19 pandemic continues to develop, many of our estimates could require increased judgment and carry a higher degree of variability and volatility. As events continue to evolve our estimates may change materially in future periods.</w:t>
      </w:r>
    </w:p>
    <w:p>
      <w:pPr>
        <w:spacing w:after="0" w:line="196" w:lineRule="exact"/>
        <w:rPr>
          <w:sz w:val="20"/>
          <w:szCs w:val="20"/>
          <w:color w:val="auto"/>
        </w:rPr>
      </w:pPr>
    </w:p>
    <w:p>
      <w:pPr>
        <w:ind w:right="60" w:firstLine="435"/>
        <w:spacing w:after="0" w:line="287" w:lineRule="auto"/>
        <w:rPr>
          <w:sz w:val="20"/>
          <w:szCs w:val="20"/>
          <w:color w:val="auto"/>
        </w:rPr>
      </w:pPr>
      <w:r>
        <w:rPr>
          <w:rFonts w:ascii="Arial" w:cs="Arial" w:eastAsia="Arial" w:hAnsi="Arial"/>
          <w:sz w:val="16"/>
          <w:szCs w:val="16"/>
          <w:color w:val="auto"/>
        </w:rPr>
        <w:t>Examples of significant estimates and assumptions made by management involve revenue recognition for product subscriptions and enterprise business arrangements (“EBAs”), the determination of the fair value of acquired assets and liabilities, goodwill, financial instruments including strategic investments, long-lived assets, and other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credit losses, asset retirement obligations, legal contingencies, and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ind w:left="6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32BCAD"/>
        </w:rPr>
        <w:t>Segments</w:t>
      </w:r>
    </w:p>
    <w:p>
      <w:pPr>
        <w:spacing w:after="0" w:line="241" w:lineRule="exact"/>
        <w:rPr>
          <w:sz w:val="20"/>
          <w:szCs w:val="20"/>
          <w:color w:val="auto"/>
        </w:rPr>
      </w:pPr>
    </w:p>
    <w:p>
      <w:pPr>
        <w:ind w:left="60" w:firstLine="396"/>
        <w:spacing w:after="0" w:line="248" w:lineRule="auto"/>
        <w:rPr>
          <w:sz w:val="20"/>
          <w:szCs w:val="20"/>
          <w:color w:val="auto"/>
        </w:rPr>
      </w:pPr>
      <w:r>
        <w:rPr>
          <w:rFonts w:ascii="Arial" w:cs="Arial" w:eastAsia="Arial" w:hAnsi="Arial"/>
          <w:sz w:val="18"/>
          <w:szCs w:val="18"/>
          <w:color w:val="auto"/>
        </w:rPr>
        <w:t>Autodesk operates in one operating segment and accordingly, all required financial segment information is included in the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January 31,</w:t>
            </w:r>
          </w:p>
        </w:tc>
        <w:tc>
          <w:tcPr>
            <w:tcW w:w="980" w:type="dxa"/>
            <w:vAlign w:val="bottom"/>
            <w:tcBorders>
              <w:bottom w:val="single" w:sz="8" w:color="auto"/>
            </w:tcBorders>
          </w:tcPr>
          <w:p>
            <w:pPr>
              <w:spacing w:after="0"/>
              <w:rPr>
                <w:sz w:val="16"/>
                <w:szCs w:val="16"/>
                <w:color w:val="auto"/>
              </w:rPr>
            </w:pPr>
          </w:p>
        </w:tc>
      </w:tr>
      <w:tr>
        <w:trPr>
          <w:trHeight w:val="183"/>
        </w:trPr>
        <w:tc>
          <w:tcPr>
            <w:tcW w:w="6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3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92"/>
        </w:trPr>
        <w:tc>
          <w:tcPr>
            <w:tcW w:w="6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assets (1):</w:t>
            </w:r>
          </w:p>
        </w:tc>
        <w:tc>
          <w:tcPr>
            <w:tcW w:w="3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8"/>
        </w:trPr>
        <w:tc>
          <w:tcPr>
            <w:tcW w:w="6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6"/>
                <w:szCs w:val="16"/>
                <w:color w:val="auto"/>
              </w:rPr>
              <w:t>Americas</w:t>
            </w:r>
          </w:p>
        </w:tc>
        <w:tc>
          <w:tcPr>
            <w:tcW w:w="3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53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U.S.</w:t>
            </w:r>
          </w:p>
        </w:tc>
        <w:tc>
          <w:tcPr>
            <w:tcW w:w="3880" w:type="dxa"/>
            <w:vAlign w:val="bottom"/>
            <w:gridSpan w:val="2"/>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r>
      <w:tr>
        <w:trPr>
          <w:trHeight w:val="208"/>
        </w:trPr>
        <w:tc>
          <w:tcPr>
            <w:tcW w:w="60" w:type="dxa"/>
            <w:vAlign w:val="bottom"/>
          </w:tcPr>
          <w:p>
            <w:pPr>
              <w:spacing w:after="0"/>
              <w:rPr>
                <w:sz w:val="18"/>
                <w:szCs w:val="18"/>
                <w:color w:val="auto"/>
              </w:rPr>
            </w:pPr>
          </w:p>
        </w:tc>
        <w:tc>
          <w:tcPr>
            <w:tcW w:w="53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Other Americas</w:t>
            </w:r>
          </w:p>
        </w:tc>
        <w:tc>
          <w:tcPr>
            <w:tcW w:w="30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08"/>
        </w:trPr>
        <w:tc>
          <w:tcPr>
            <w:tcW w:w="6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Americas</w:t>
            </w:r>
          </w:p>
        </w:tc>
        <w:tc>
          <w:tcPr>
            <w:tcW w:w="3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r>
      <w:tr>
        <w:trPr>
          <w:trHeight w:val="208"/>
        </w:trPr>
        <w:tc>
          <w:tcPr>
            <w:tcW w:w="6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6"/>
                <w:szCs w:val="16"/>
                <w:color w:val="auto"/>
              </w:rPr>
              <w:t>Europe, Middle East, and Africa</w:t>
            </w:r>
          </w:p>
        </w:tc>
        <w:tc>
          <w:tcPr>
            <w:tcW w:w="3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14"/>
        </w:trPr>
        <w:tc>
          <w:tcPr>
            <w:tcW w:w="6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Asia Pacific</w:t>
            </w:r>
          </w:p>
        </w:tc>
        <w:tc>
          <w:tcPr>
            <w:tcW w:w="3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r>
      <w:tr>
        <w:trPr>
          <w:trHeight w:val="201"/>
        </w:trPr>
        <w:tc>
          <w:tcPr>
            <w:tcW w:w="5360" w:type="dxa"/>
            <w:vAlign w:val="bottom"/>
            <w:gridSpan w:val="2"/>
          </w:tcPr>
          <w:p>
            <w:pPr>
              <w:spacing w:after="0"/>
              <w:rPr>
                <w:sz w:val="20"/>
                <w:szCs w:val="20"/>
                <w:color w:val="auto"/>
              </w:rPr>
            </w:pPr>
            <w:r>
              <w:rPr>
                <w:rFonts w:ascii="Arial" w:cs="Arial" w:eastAsia="Arial" w:hAnsi="Arial"/>
                <w:sz w:val="16"/>
                <w:szCs w:val="16"/>
                <w:color w:val="auto"/>
              </w:rPr>
              <w:t>Total long-lived assets</w:t>
            </w:r>
          </w:p>
        </w:tc>
        <w:tc>
          <w:tcPr>
            <w:tcW w:w="3880" w:type="dxa"/>
            <w:vAlign w:val="bottom"/>
            <w:gridSpan w:val="2"/>
          </w:tcPr>
          <w:p>
            <w:pPr>
              <w:jc w:val="right"/>
              <w:ind w:right="77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609.5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600.5</w:t>
            </w:r>
          </w:p>
        </w:tc>
      </w:tr>
      <w:tr>
        <w:trPr>
          <w:trHeight w:val="23"/>
        </w:trPr>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60" w:hanging="394"/>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32BCAD"/>
        </w:rPr>
        <w:t>Revenue Recognition</w:t>
      </w:r>
    </w:p>
    <w:p>
      <w:pPr>
        <w:spacing w:after="0" w:line="241" w:lineRule="exact"/>
        <w:rPr>
          <w:sz w:val="20"/>
          <w:szCs w:val="20"/>
          <w:color w:val="auto"/>
        </w:rPr>
      </w:pPr>
    </w:p>
    <w:p>
      <w:pPr>
        <w:ind w:left="60" w:right="20" w:firstLine="396"/>
        <w:spacing w:after="0" w:line="248"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Subscription revenue consists of our term-based product subscriptions, cloud service offerings, and flexible EBAs. Maintenance revenue consists of renewal fees for existing maintenance plan agreements that were initially purchased with a perpetual software license. Under our maintenance plan, customers are eligible to receive unspecified upgrades, when and if available, and technical support. Other revenue consists of revenue from consulting, training, and other products and services. Revenue is recognized when control for these offerings is transferred to our customers, in an amount that reflects the consideration we expect to be entitled to in exchange for products and services.</w:t>
      </w:r>
    </w:p>
    <w:p>
      <w:pPr>
        <w:spacing w:after="0" w:line="220" w:lineRule="exact"/>
        <w:rPr>
          <w:sz w:val="20"/>
          <w:szCs w:val="20"/>
          <w:color w:val="auto"/>
        </w:rPr>
      </w:pPr>
    </w:p>
    <w:p>
      <w:pPr>
        <w:ind w:left="60" w:right="240" w:firstLine="396"/>
        <w:spacing w:after="0" w:line="285" w:lineRule="auto"/>
        <w:rPr>
          <w:sz w:val="20"/>
          <w:szCs w:val="20"/>
          <w:color w:val="auto"/>
        </w:rPr>
      </w:pPr>
      <w:r>
        <w:rPr>
          <w:rFonts w:ascii="Arial" w:cs="Arial" w:eastAsia="Arial" w:hAnsi="Arial"/>
          <w:sz w:val="16"/>
          <w:szCs w:val="16"/>
          <w:color w:val="auto"/>
        </w:rPr>
        <w:t>Autodesk’s contracts with customers may include promises to transfer multiple products and services to a customer. Determining whether the products and services are considered distinct performance obligations that should be accounted for separately or as a single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193" w:lineRule="exact"/>
        <w:rPr>
          <w:sz w:val="20"/>
          <w:szCs w:val="20"/>
          <w:color w:val="auto"/>
        </w:rPr>
      </w:pPr>
    </w:p>
    <w:p>
      <w:pPr>
        <w:ind w:left="60" w:right="440" w:firstLine="396"/>
        <w:spacing w:after="0" w:line="287" w:lineRule="auto"/>
        <w:rPr>
          <w:sz w:val="20"/>
          <w:szCs w:val="20"/>
          <w:color w:val="auto"/>
        </w:rPr>
      </w:pPr>
      <w:r>
        <w:rPr>
          <w:rFonts w:ascii="Arial" w:cs="Arial" w:eastAsia="Arial" w:hAnsi="Arial"/>
          <w:sz w:val="16"/>
          <w:szCs w:val="16"/>
          <w:color w:val="auto"/>
        </w:rPr>
        <w:t>For product subscriptions and flexible EBA subscriptions in which the desktop software and related cloud functionalities are highly interrelated, the single performance obligation is recognized ratably over the contract term as the subscription is delivered. For subscriptions involving distinct desktop software licenses, the license performance obligation is satisfied when delivered to our customers.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92" w:lineRule="exact"/>
        <w:rPr>
          <w:sz w:val="20"/>
          <w:szCs w:val="20"/>
          <w:color w:val="auto"/>
        </w:rPr>
      </w:pPr>
    </w:p>
    <w:p>
      <w:pPr>
        <w:ind w:left="60" w:right="140" w:firstLine="396"/>
        <w:spacing w:after="0" w:line="325"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00"/>
          </w:cols>
          <w:pgMar w:left="26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See Part II, Item 7, Management's Discussion and Analysis of Financial Condition and Results of Operations, subsection “Critical Accounting Policies and Estimates,” for details of the judgments made for SSP.</w:t>
      </w:r>
    </w:p>
    <w:p>
      <w:pPr>
        <w:spacing w:after="0" w:line="219" w:lineRule="exact"/>
        <w:rPr>
          <w:sz w:val="20"/>
          <w:szCs w:val="20"/>
          <w:color w:val="auto"/>
        </w:rPr>
      </w:pPr>
    </w:p>
    <w:p>
      <w:pPr>
        <w:ind w:right="40" w:firstLine="435"/>
        <w:spacing w:after="0" w:line="28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Obtain a Contract with a Customer</w:t>
      </w:r>
    </w:p>
    <w:p>
      <w:pPr>
        <w:spacing w:after="0" w:line="241" w:lineRule="exact"/>
        <w:rPr>
          <w:sz w:val="20"/>
          <w:szCs w:val="20"/>
          <w:color w:val="auto"/>
        </w:rPr>
      </w:pPr>
    </w:p>
    <w:p>
      <w:pPr>
        <w:ind w:right="200" w:firstLine="396"/>
        <w:spacing w:after="0" w:line="282"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“Long-term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marketing and sales expenses in the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Fair Value Measurement</w:t>
      </w:r>
    </w:p>
    <w:p>
      <w:pPr>
        <w:spacing w:after="0" w:line="241"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4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for which there is little or no market data, which require Autodesk to develop its own assumptions.</w:t>
      </w:r>
    </w:p>
    <w:p>
      <w:pPr>
        <w:spacing w:after="0" w:line="241" w:lineRule="exact"/>
        <w:rPr>
          <w:sz w:val="20"/>
          <w:szCs w:val="20"/>
          <w:color w:val="auto"/>
        </w:rPr>
      </w:pPr>
    </w:p>
    <w:p>
      <w:pPr>
        <w:ind w:firstLine="396"/>
        <w:spacing w:after="0" w:line="325" w:lineRule="auto"/>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and Level 2 assets.</w:t>
      </w:r>
    </w:p>
    <w:p>
      <w:pPr>
        <w:spacing w:after="0" w:line="161" w:lineRule="exact"/>
        <w:rPr>
          <w:sz w:val="20"/>
          <w:szCs w:val="20"/>
          <w:color w:val="auto"/>
        </w:rPr>
      </w:pPr>
    </w:p>
    <w:p>
      <w:pPr>
        <w:ind w:right="100" w:firstLine="435"/>
        <w:spacing w:after="0" w:line="285" w:lineRule="auto"/>
        <w:rPr>
          <w:sz w:val="20"/>
          <w:szCs w:val="20"/>
          <w:color w:val="auto"/>
        </w:rPr>
      </w:pPr>
      <w:r>
        <w:rPr>
          <w:rFonts w:ascii="Arial" w:cs="Arial" w:eastAsia="Arial" w:hAnsi="Arial"/>
          <w:sz w:val="16"/>
          <w:szCs w:val="16"/>
          <w:color w:val="auto"/>
        </w:rPr>
        <w:t>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 Autodesk’s Level 2 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 (discounted). Mid-market pricing is used as a practical expedient and when required, rates are interpolated from commonly quoted intervals published by market sources. See Note 3, “Financial Instruments” for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and Cash Equivalents</w:t>
      </w:r>
    </w:p>
    <w:p>
      <w:pPr>
        <w:spacing w:after="0" w:line="241" w:lineRule="exact"/>
        <w:rPr>
          <w:sz w:val="20"/>
          <w:szCs w:val="20"/>
          <w:color w:val="auto"/>
        </w:rPr>
      </w:pPr>
    </w:p>
    <w:p>
      <w:pPr>
        <w:ind w:right="480" w:firstLine="435"/>
        <w:spacing w:after="0" w:line="262"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stated at estimated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Marketable Securities and Strategic Investments</w:t>
      </w:r>
    </w:p>
    <w:p>
      <w:pPr>
        <w:spacing w:after="0" w:line="241"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64"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(deficit)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strategic investments consist of privately held debt and equity securities.</w:t>
      </w:r>
    </w:p>
    <w:p>
      <w:pPr>
        <w:spacing w:after="0" w:line="241" w:lineRule="exact"/>
        <w:rPr>
          <w:sz w:val="20"/>
          <w:szCs w:val="20"/>
          <w:color w:val="auto"/>
        </w:rPr>
      </w:pPr>
    </w:p>
    <w:p>
      <w:pPr>
        <w:ind w:right="20" w:firstLine="396"/>
        <w:spacing w:after="0" w:line="283" w:lineRule="auto"/>
        <w:rPr>
          <w:sz w:val="20"/>
          <w:szCs w:val="20"/>
          <w:color w:val="auto"/>
        </w:rPr>
      </w:pPr>
      <w:r>
        <w:rPr>
          <w:rFonts w:ascii="Arial" w:cs="Arial" w:eastAsia="Arial" w:hAnsi="Arial"/>
          <w:sz w:val="16"/>
          <w:szCs w:val="16"/>
          <w:color w:val="auto"/>
        </w:rPr>
        <w:t>Under the measurement alternative method, strategic investment equity securities are measured at cost, less any impairments, plus or minus changes resulting from observable price changes in orderly transactions for the identical or similar investment of the same issuer in the current period. The carrying value is not adjusted for the Company’s strategic investment equity securities if there are no observable price changes in a same or similar security from the same issuer or if there are no identified events or changes in circumstances that may indicate impairment, as discussed below.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w:t>
      </w:r>
    </w:p>
    <w:p>
      <w:pPr>
        <w:spacing w:after="0" w:line="196" w:lineRule="exact"/>
        <w:rPr>
          <w:sz w:val="20"/>
          <w:szCs w:val="20"/>
          <w:color w:val="auto"/>
        </w:rPr>
      </w:pPr>
    </w:p>
    <w:p>
      <w:pPr>
        <w:ind w:right="280" w:firstLine="396"/>
        <w:spacing w:after="0" w:line="250" w:lineRule="auto"/>
        <w:rPr>
          <w:sz w:val="20"/>
          <w:szCs w:val="20"/>
          <w:color w:val="auto"/>
        </w:rPr>
      </w:pPr>
      <w:r>
        <w:rPr>
          <w:rFonts w:ascii="Arial" w:cs="Arial" w:eastAsia="Arial" w:hAnsi="Arial"/>
          <w:sz w:val="18"/>
          <w:szCs w:val="18"/>
          <w:color w:val="auto"/>
        </w:rPr>
        <w:t>The company’s strategic investment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19" w:lineRule="exact"/>
        <w:rPr>
          <w:sz w:val="20"/>
          <w:szCs w:val="20"/>
          <w:color w:val="auto"/>
        </w:rPr>
      </w:pPr>
    </w:p>
    <w:p>
      <w:pPr>
        <w:ind w:right="100" w:firstLine="396"/>
        <w:spacing w:after="0" w:line="250" w:lineRule="auto"/>
        <w:rPr>
          <w:sz w:val="20"/>
          <w:szCs w:val="20"/>
          <w:color w:val="auto"/>
        </w:rPr>
      </w:pPr>
      <w:r>
        <w:rPr>
          <w:rFonts w:ascii="Arial" w:cs="Arial" w:eastAsia="Arial" w:hAnsi="Arial"/>
          <w:sz w:val="18"/>
          <w:szCs w:val="18"/>
          <w:color w:val="auto"/>
        </w:rPr>
        <w:t>In determining the estimated fair value of its strategic investments,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219" w:lineRule="exact"/>
        <w:rPr>
          <w:sz w:val="20"/>
          <w:szCs w:val="20"/>
          <w:color w:val="auto"/>
        </w:rPr>
      </w:pPr>
    </w:p>
    <w:p>
      <w:pPr>
        <w:ind w:right="60" w:firstLine="396"/>
        <w:spacing w:after="0" w:line="283" w:lineRule="auto"/>
        <w:rPr>
          <w:sz w:val="20"/>
          <w:szCs w:val="20"/>
          <w:color w:val="auto"/>
        </w:rPr>
      </w:pPr>
      <w:r>
        <w:rPr>
          <w:rFonts w:ascii="Arial" w:cs="Arial" w:eastAsia="Arial" w:hAnsi="Arial"/>
          <w:sz w:val="16"/>
          <w:szCs w:val="16"/>
          <w:color w:val="auto"/>
        </w:rPr>
        <w:t>All of Autodesk’s marketable securities and strategic investments are subject to a periodic impairment review. Strategic investments equity securities are assessed based on available information such as current cash positions, earnings,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216" w:lineRule="exact"/>
        <w:rPr>
          <w:sz w:val="20"/>
          <w:szCs w:val="20"/>
          <w:color w:val="auto"/>
        </w:rPr>
      </w:pPr>
    </w:p>
    <w:p>
      <w:pPr>
        <w:ind w:right="40" w:firstLine="396"/>
        <w:spacing w:after="0" w:line="292" w:lineRule="auto"/>
        <w:rPr>
          <w:sz w:val="20"/>
          <w:szCs w:val="20"/>
          <w:color w:val="auto"/>
        </w:rPr>
      </w:pPr>
      <w:r>
        <w:rPr>
          <w:rFonts w:ascii="Arial" w:cs="Arial" w:eastAsia="Arial" w:hAnsi="Arial"/>
          <w:sz w:val="16"/>
          <w:szCs w:val="16"/>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“Cash and cash equivalents,” “Prepaid expenses and other current assets,” or “Long-term other assets” in the accompanying Consolidated Balance Sheets, as applicable.</w:t>
      </w:r>
    </w:p>
    <w:p>
      <w:pPr>
        <w:spacing w:after="0" w:line="186" w:lineRule="exact"/>
        <w:rPr>
          <w:sz w:val="20"/>
          <w:szCs w:val="20"/>
          <w:color w:val="auto"/>
        </w:rPr>
      </w:pPr>
    </w:p>
    <w:p>
      <w:pPr>
        <w:ind w:right="160" w:firstLine="396"/>
        <w:spacing w:after="0" w:line="287" w:lineRule="auto"/>
        <w:rPr>
          <w:sz w:val="20"/>
          <w:szCs w:val="20"/>
          <w:color w:val="auto"/>
        </w:rPr>
      </w:pPr>
      <w:r>
        <w:rPr>
          <w:rFonts w:ascii="Arial" w:cs="Arial" w:eastAsia="Arial" w:hAnsi="Arial"/>
          <w:sz w:val="16"/>
          <w:szCs w:val="16"/>
          <w:color w:val="auto"/>
        </w:rPr>
        <w:t>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additional information, see “Concentration of Credit Risk” within this Note 1 and Note 3, “Financial Instruments.”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 Financial Instruments</w:t>
      </w:r>
    </w:p>
    <w:p>
      <w:pPr>
        <w:spacing w:after="0" w:line="241" w:lineRule="exact"/>
        <w:rPr>
          <w:sz w:val="20"/>
          <w:szCs w:val="20"/>
          <w:color w:val="auto"/>
        </w:rPr>
      </w:pPr>
    </w:p>
    <w:p>
      <w:pPr>
        <w:ind w:right="160" w:firstLine="396"/>
        <w:spacing w:after="0" w:line="248"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British pounds, Canadian dollars, Australian dollars, Singapore dollars, Swiss francs, Swedish krona, and Czech koruna. These instruments generally have maturities between one and 12 months in the future. Autodesk uses foreign currency contracts not designated as hedging instruments and foreign currency contracts designated as cash flow hedging but Autodesk does not enter into derivative instrument transactions for trading or speculative purposes.</w:t>
      </w:r>
    </w:p>
    <w:p>
      <w:pPr>
        <w:spacing w:after="0" w:line="220" w:lineRule="exact"/>
        <w:rPr>
          <w:sz w:val="20"/>
          <w:szCs w:val="20"/>
          <w:color w:val="auto"/>
        </w:rPr>
      </w:pPr>
    </w:p>
    <w:p>
      <w:pPr>
        <w:ind w:right="40" w:firstLine="396"/>
        <w:spacing w:after="0" w:line="287" w:lineRule="auto"/>
        <w:rPr>
          <w:sz w:val="20"/>
          <w:szCs w:val="20"/>
          <w:color w:val="auto"/>
        </w:rPr>
      </w:pPr>
      <w:r>
        <w:rPr>
          <w:rFonts w:ascii="Arial" w:cs="Arial" w:eastAsia="Arial" w:hAnsi="Arial"/>
          <w:sz w:val="16"/>
          <w:szCs w:val="16"/>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spacing w:after="0" w:line="21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“Long-term other assets.” Changes in the fair values of these instruments are recognized in “Interest and other expense, 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Translation and Transactions</w:t>
      </w:r>
    </w:p>
    <w:p>
      <w:pPr>
        <w:spacing w:after="0" w:line="241" w:lineRule="exact"/>
        <w:rPr>
          <w:sz w:val="20"/>
          <w:szCs w:val="20"/>
          <w:color w:val="auto"/>
        </w:rPr>
      </w:pPr>
    </w:p>
    <w:p>
      <w:pPr>
        <w:ind w:right="280" w:firstLine="435"/>
        <w:spacing w:after="0" w:line="300"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in other comprehensive income (loss).</w:t>
      </w:r>
    </w:p>
    <w:p>
      <w:pPr>
        <w:spacing w:after="0" w:line="181"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expense, net.” Monetary assets and liabilities are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remeasured using foreign currency exchange rates at the end of the period, and non-monetary assets are remeasured based on historical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Contracts Designated as Cash Flow Hedges</w:t>
      </w:r>
    </w:p>
    <w:p>
      <w:pPr>
        <w:spacing w:after="0" w:line="241" w:lineRule="exact"/>
        <w:rPr>
          <w:sz w:val="20"/>
          <w:szCs w:val="20"/>
          <w:color w:val="auto"/>
        </w:rPr>
      </w:pPr>
    </w:p>
    <w:p>
      <w:pPr>
        <w:ind w:right="80" w:firstLine="435"/>
        <w:spacing w:after="0" w:line="302" w:lineRule="auto"/>
        <w:rPr>
          <w:sz w:val="20"/>
          <w:szCs w:val="20"/>
          <w:color w:val="auto"/>
        </w:rPr>
      </w:pPr>
      <w:r>
        <w:rPr>
          <w:rFonts w:ascii="Arial" w:cs="Arial" w:eastAsia="Arial" w:hAnsi="Arial"/>
          <w:sz w:val="15"/>
          <w:szCs w:val="15"/>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expense, net” in the Company’s Consolidated Financial Statements at that time. Derivative contracts and related gain (loss) are presented within “Net cash provided by operating activities” in the Company’s Consolidated Statements of Cash Flow. See Note 3, “Financial Instruments”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Derivatives Not Designated as Hedging Instruments</w:t>
      </w:r>
    </w:p>
    <w:p>
      <w:pPr>
        <w:spacing w:after="0" w:line="24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Accounts Receivable, Net</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716.1</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Less: Allowance for credit losses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returns reserve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Partner programs and other obligations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20" w:firstLine="396"/>
        <w:spacing w:after="0" w:line="316" w:lineRule="auto"/>
        <w:rPr>
          <w:sz w:val="20"/>
          <w:szCs w:val="20"/>
          <w:color w:val="auto"/>
        </w:rPr>
      </w:pPr>
      <w:r>
        <w:rPr>
          <w:rFonts w:ascii="Arial" w:cs="Arial" w:eastAsia="Arial" w:hAnsi="Arial"/>
          <w:sz w:val="15"/>
          <w:szCs w:val="15"/>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 Allowances for credit losses on trade receivables and contract assets were not material as of January 31, 2021.</w:t>
      </w:r>
    </w:p>
    <w:p>
      <w:pPr>
        <w:spacing w:after="0" w:line="173" w:lineRule="exact"/>
        <w:rPr>
          <w:sz w:val="20"/>
          <w:szCs w:val="20"/>
          <w:color w:val="auto"/>
        </w:rPr>
      </w:pPr>
    </w:p>
    <w:p>
      <w:pPr>
        <w:ind w:right="20" w:firstLine="396"/>
        <w:spacing w:after="0" w:line="292"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deferred revenue in the period the transaction is billed and subsequently recognized as a reduction to subscription or maintenance revenue over the contract period. The remainder reduces subscription or maintenance revenue in the current period.</w:t>
      </w:r>
    </w:p>
    <w:p>
      <w:pPr>
        <w:spacing w:after="0" w:line="186" w:lineRule="exact"/>
        <w:rPr>
          <w:sz w:val="20"/>
          <w:szCs w:val="20"/>
          <w:color w:val="auto"/>
        </w:rPr>
      </w:pPr>
    </w:p>
    <w:p>
      <w:pPr>
        <w:ind w:right="240" w:firstLine="396"/>
        <w:spacing w:after="0" w:line="325" w:lineRule="auto"/>
        <w:rPr>
          <w:sz w:val="20"/>
          <w:szCs w:val="20"/>
          <w:color w:val="auto"/>
        </w:rPr>
      </w:pPr>
      <w:r>
        <w:rPr>
          <w:rFonts w:ascii="Arial" w:cs="Arial" w:eastAsia="Arial" w:hAnsi="Arial"/>
          <w:sz w:val="16"/>
          <w:szCs w:val="16"/>
          <w:color w:val="auto"/>
        </w:rPr>
        <w:t>These incentive balances do not require significant assumptions or judgments. Depending on how the payments are made, the reserves associated with the partner incentive program are treated on the balance sheet as either a reduction to accounts receivable or recorded as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Concentration of Credit Risk</w:t>
      </w:r>
    </w:p>
    <w:p>
      <w:pPr>
        <w:spacing w:after="0" w:line="241" w:lineRule="exact"/>
        <w:rPr>
          <w:sz w:val="20"/>
          <w:szCs w:val="20"/>
          <w:color w:val="auto"/>
        </w:rPr>
      </w:pPr>
    </w:p>
    <w:p>
      <w:pPr>
        <w:ind w:right="80" w:firstLine="435"/>
        <w:spacing w:after="0" w:line="250"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w:t>
      </w:r>
    </w:p>
    <w:p>
      <w:pPr>
        <w:spacing w:after="0" w:line="219"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2" w:lineRule="exact"/>
        <w:rPr>
          <w:sz w:val="20"/>
          <w:szCs w:val="20"/>
          <w:color w:val="auto"/>
        </w:rPr>
      </w:pPr>
    </w:p>
    <w:p>
      <w:pPr>
        <w:ind w:firstLine="435"/>
        <w:spacing w:after="0" w:line="281"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these partners’ and customers’ financial condition and limits the amount of credit extended when deemed necessary, but generally does not require collateral from such parties. Total sales to the Company’s largest distributor Tech Data Corporation, and its global affiliates (“Tech Data”), accounted for 37% of Autodesk's net revenue for fiscal year ended January 31, 2021, and 35% of Autodesk’s net revenue for both fiscal years ended January 31, 2020 and 2019. The majority of the net revenue from sales to Tech Data is for sales made outside of the United States. In addition, Tech Data accounted for 26% and 31% of trade accounts receivable as of January 31, 2021 and 2020, respectively. Ingram Micro Inc. (“Ingram Micro”), our second largest distributor, accounted for 10% of Autodesk’s total net revenue for both fiscal years ended January 31, 2021 and 2020, and 11% of Autodesk’s total net revenue for fiscal year ended January 31, 2019. No other customer accounted for more than 10% of Autodesk’s total net revenue or trade accounts receivable for each of the respective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Computer Equipment, Software, Furniture, and Leasehold Improvements, Net</w:t>
      </w:r>
    </w:p>
    <w:p>
      <w:pPr>
        <w:spacing w:after="0" w:line="241" w:lineRule="exact"/>
        <w:rPr>
          <w:sz w:val="20"/>
          <w:szCs w:val="20"/>
          <w:color w:val="auto"/>
        </w:rPr>
      </w:pPr>
    </w:p>
    <w:p>
      <w:pPr>
        <w:ind w:right="320" w:firstLine="435"/>
        <w:spacing w:after="0" w:line="300" w:lineRule="auto"/>
        <w:rPr>
          <w:sz w:val="20"/>
          <w:szCs w:val="20"/>
          <w:color w:val="auto"/>
        </w:rPr>
      </w:pPr>
      <w:r>
        <w:rPr>
          <w:rFonts w:ascii="Arial" w:cs="Arial" w:eastAsia="Arial" w:hAnsi="Arial"/>
          <w:sz w:val="16"/>
          <w:szCs w:val="16"/>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$51.4 million in fiscal 2021, $51.0 million in fiscal 2020, and $59.2 million in fiscal 2019.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Computer equipment, software, furniture, leasehold improvements, and the related accumulated depreciation at January 31 were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and equipment, at cost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(442.7)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540" w:firstLine="435"/>
        <w:spacing w:after="0" w:line="25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Software Development Costs</w:t>
      </w:r>
    </w:p>
    <w:p>
      <w:pPr>
        <w:spacing w:after="0" w:line="241" w:lineRule="exact"/>
        <w:rPr>
          <w:sz w:val="20"/>
          <w:szCs w:val="20"/>
          <w:color w:val="auto"/>
        </w:rPr>
      </w:pPr>
    </w:p>
    <w:p>
      <w:pPr>
        <w:jc w:val="both"/>
        <w:ind w:right="20" w:firstLine="435"/>
        <w:spacing w:after="0" w:line="292"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three-year period, if material. Autodesk had no material capitalized software development costs at January 31, 2021, and January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Cloud Computing Arrangements</w:t>
      </w:r>
    </w:p>
    <w:p>
      <w:pPr>
        <w:spacing w:after="0" w:line="241" w:lineRule="exact"/>
        <w:rPr>
          <w:sz w:val="20"/>
          <w:szCs w:val="20"/>
          <w:color w:val="auto"/>
        </w:rPr>
      </w:pPr>
    </w:p>
    <w:p>
      <w:pPr>
        <w:ind w:right="40" w:firstLine="396"/>
        <w:spacing w:after="0" w:line="283" w:lineRule="auto"/>
        <w:rPr>
          <w:sz w:val="20"/>
          <w:szCs w:val="20"/>
          <w:color w:val="auto"/>
        </w:rPr>
      </w:pPr>
      <w:r>
        <w:rPr>
          <w:rFonts w:ascii="Arial" w:cs="Arial" w:eastAsia="Arial" w:hAnsi="Arial"/>
          <w:sz w:val="16"/>
          <w:szCs w:val="16"/>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Consolidated Balance Sheets. Capitalized costs were $72.2 million and $22.3 million at January 31, 2021, and January 31, 2020, respectively. Accumulated amortization was $4.9 million and $1.2 million at January 31, 2021, and January 31, 2020, respectively. Amortization expense was $3.7 million, $1.2 million, and nil at January 31, 2021, January 31, 2020, and January 31, 2019,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Leases</w:t>
      </w:r>
    </w:p>
    <w:p>
      <w:pPr>
        <w:spacing w:after="0" w:line="241"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Autodesk determines if an arrangement is a lease at inception. Operating leases are included in “Operating lease right-of-use assets,” “Operating lease liabilities,” and “Long-term operating lease liabilities” in the Consolidated Balance Sheets.</w:t>
      </w:r>
    </w:p>
    <w:p>
      <w:pPr>
        <w:spacing w:after="0" w:line="208" w:lineRule="exact"/>
        <w:rPr>
          <w:sz w:val="20"/>
          <w:szCs w:val="20"/>
          <w:color w:val="auto"/>
        </w:rPr>
      </w:pPr>
    </w:p>
    <w:p>
      <w:pPr>
        <w:ind w:right="60" w:firstLine="435"/>
        <w:spacing w:after="0" w:line="283" w:lineRule="auto"/>
        <w:rPr>
          <w:sz w:val="20"/>
          <w:szCs w:val="20"/>
          <w:color w:val="auto"/>
        </w:rPr>
      </w:pPr>
      <w:r>
        <w:rPr>
          <w:rFonts w:ascii="Arial" w:cs="Arial" w:eastAsia="Arial" w:hAnsi="Arial"/>
          <w:sz w:val="16"/>
          <w:szCs w:val="16"/>
          <w:color w:val="auto"/>
        </w:rPr>
        <w:t>Operating lease right-of-use (“ROU”) assets represent Autodesk’s right to use an underlying asset for the lease term and operating lease liabilities represent the Company’s obligation to make lease payments arising from the lease. Operating lease ROU assets and operating lease liabilities are recognized at commencement date based on the present value of lease payments over the lease term. The operating lease ROU assets also include any lease payments made and are reduced by any lease incentives. Autodesk uses its incremental borrowing rate, if the Company’s leases do not provide an implicit rate, adjusted for local country-specific borrowing rates as applicable, based on the information available at commencement date in determining the present value of lease payments.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96" w:lineRule="exact"/>
        <w:rPr>
          <w:sz w:val="20"/>
          <w:szCs w:val="20"/>
          <w:color w:val="auto"/>
        </w:rPr>
      </w:pPr>
    </w:p>
    <w:p>
      <w:pPr>
        <w:ind w:right="540" w:firstLine="435"/>
        <w:spacing w:after="0" w:line="262" w:lineRule="auto"/>
        <w:rPr>
          <w:sz w:val="20"/>
          <w:szCs w:val="20"/>
          <w:color w:val="auto"/>
        </w:rPr>
      </w:pPr>
      <w:r>
        <w:rPr>
          <w:rFonts w:ascii="Arial" w:cs="Arial" w:eastAsia="Arial" w:hAnsi="Arial"/>
          <w:sz w:val="18"/>
          <w:szCs w:val="18"/>
          <w:color w:val="auto"/>
        </w:rPr>
        <w:t>Autodesk has lease agreements with lease and non-lease components. Autodesk accounts for the lease and non-lease components as a single lease component.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Intangible Assets, Net</w:t>
      </w:r>
    </w:p>
    <w:p>
      <w:pPr>
        <w:spacing w:after="0" w:line="241" w:lineRule="exact"/>
        <w:rPr>
          <w:sz w:val="20"/>
          <w:szCs w:val="20"/>
          <w:color w:val="auto"/>
        </w:rPr>
      </w:pPr>
    </w:p>
    <w:p>
      <w:pPr>
        <w:ind w:firstLine="435"/>
        <w:spacing w:after="0" w:line="249"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“Long-term other assets” in the Consolidated Balance Sheet. The majority of Autodesk’s other intangible assets are amortized to expense over the estimated economic life of the product, which ranges from three to ten years. Amortization expense for developed technologies, customer relationships, trade names, patents, and user lists was $69.9 million in fiscal 2021, $73.7 million in fiscal 2020, and $33.5 million in fiscal 2019.</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532.2</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(972.2)</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ind w:left="400" w:hanging="394"/>
        <w:spacing w:after="0"/>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Included in “Long-term other assets” in the accompanying Consolidated Balance Sheets.</w:t>
      </w:r>
    </w:p>
    <w:p>
      <w:pPr>
        <w:spacing w:after="0" w:line="14" w:lineRule="exact"/>
        <w:rPr>
          <w:rFonts w:ascii="Arial" w:cs="Arial" w:eastAsia="Arial" w:hAnsi="Arial"/>
          <w:sz w:val="16"/>
          <w:szCs w:val="16"/>
          <w:color w:val="auto"/>
        </w:rPr>
      </w:pPr>
    </w:p>
    <w:p>
      <w:pPr>
        <w:ind w:left="400" w:hanging="394"/>
        <w:spacing w:after="0"/>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22"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The weighted average amortization period for developed technologies, customer relationships, trade names, patents, and user lists during fiscal 2021 was 4.74 years. Excluding in-process research and development, expected future amortization expense for developed technologies, customer relationships, trade names, patents, and user lists for each of the fiscal years ended thereafter is as follows:</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43"/>
              <w:spacing w:after="0"/>
              <w:rPr>
                <w:sz w:val="20"/>
                <w:szCs w:val="20"/>
                <w:color w:val="auto"/>
              </w:rPr>
            </w:pPr>
            <w:r>
              <w:rPr>
                <w:rFonts w:ascii="Arial" w:cs="Arial" w:eastAsia="Arial" w:hAnsi="Arial"/>
                <w:sz w:val="14"/>
                <w:szCs w:val="14"/>
                <w:b w:val="1"/>
                <w:bCs w:val="1"/>
                <w:color w:val="auto"/>
                <w:w w:val="97"/>
              </w:rPr>
              <w:t>Fiscal Year ended</w:t>
            </w:r>
          </w:p>
        </w:tc>
      </w:tr>
      <w:tr>
        <w:trPr>
          <w:trHeight w:val="184"/>
        </w:trPr>
        <w:tc>
          <w:tcPr>
            <w:tcW w:w="9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January 31,</w:t>
            </w:r>
          </w:p>
        </w:tc>
      </w:tr>
      <w:tr>
        <w:trPr>
          <w:trHeight w:val="205"/>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8"/>
        </w:trPr>
        <w:tc>
          <w:tcPr>
            <w:tcW w:w="940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4"/>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8"/>
        </w:trPr>
        <w:tc>
          <w:tcPr>
            <w:tcW w:w="940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4"/>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8"/>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29"/>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Impairment of Long-Lived Assets</w:t>
      </w:r>
    </w:p>
    <w:p>
      <w:pPr>
        <w:spacing w:after="0" w:line="241" w:lineRule="exact"/>
        <w:rPr>
          <w:sz w:val="20"/>
          <w:szCs w:val="20"/>
          <w:color w:val="auto"/>
        </w:rPr>
      </w:pPr>
    </w:p>
    <w:p>
      <w:pPr>
        <w:ind w:right="20" w:firstLine="396"/>
        <w:spacing w:after="0" w:line="246" w:lineRule="auto"/>
        <w:rPr>
          <w:sz w:val="20"/>
          <w:szCs w:val="20"/>
          <w:color w:val="auto"/>
        </w:rPr>
      </w:pPr>
      <w:r>
        <w:rPr>
          <w:rFonts w:ascii="Arial" w:cs="Arial" w:eastAsia="Arial" w:hAnsi="Arial"/>
          <w:sz w:val="18"/>
          <w:szCs w:val="18"/>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 the assets are expected to generate. If the long-lived assets are impaired, the impairment to be recognized is equal to the amount by which the carrying value of the assets exceeds its fair market value. Autodesk did not recognize any material impairments of long-lived assets during the fiscal years ended January 31, 2021, 2020, and 2019, respectively. See Note 9, “Leases” for impairment of lease right-of-use assets.</w:t>
      </w:r>
    </w:p>
    <w:p>
      <w:pPr>
        <w:spacing w:after="0" w:line="4" w:lineRule="exact"/>
        <w:rPr>
          <w:sz w:val="20"/>
          <w:szCs w:val="20"/>
          <w:color w:val="auto"/>
        </w:rPr>
      </w:pPr>
    </w:p>
    <w:p>
      <w:pPr>
        <w:ind w:right="180" w:firstLine="396"/>
        <w:spacing w:after="0" w:line="247"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Goodwill</w:t>
      </w:r>
    </w:p>
    <w:p>
      <w:pPr>
        <w:spacing w:after="0" w:line="241"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216" w:lineRule="exact"/>
        <w:rPr>
          <w:sz w:val="20"/>
          <w:szCs w:val="20"/>
          <w:color w:val="auto"/>
        </w:rPr>
      </w:pPr>
    </w:p>
    <w:p>
      <w:pPr>
        <w:ind w:right="80" w:firstLine="396"/>
        <w:spacing w:after="0" w:line="248"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entity-specific factors; and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220" w:lineRule="exact"/>
        <w:rPr>
          <w:sz w:val="20"/>
          <w:szCs w:val="20"/>
          <w:color w:val="auto"/>
        </w:rPr>
      </w:pPr>
    </w:p>
    <w:p>
      <w:pPr>
        <w:ind w:right="220" w:firstLine="396"/>
        <w:spacing w:after="0" w:line="300"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81" w:lineRule="exact"/>
        <w:rPr>
          <w:sz w:val="20"/>
          <w:szCs w:val="20"/>
          <w:color w:val="auto"/>
        </w:rPr>
      </w:pPr>
    </w:p>
    <w:p>
      <w:pPr>
        <w:ind w:right="260" w:firstLine="396"/>
        <w:spacing w:after="0" w:line="250"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the Company’s statements of operations. The process of evaluating the potential impairment of goodwill is subjective and requires significant judgment at many points during the analysis. The value of Autodesk’s goodwill could also be impacted by future adverse changes such 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40" w:firstLine="6"/>
        <w:spacing w:after="0" w:line="262"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a significant slowdown in the worldwide economy or the industries Autodesk serves, or (iv) changes in Autodesk’s business strategy.</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annual impairment test, Autodesk’s market capitalization was substantially in excess of the carrying value of the Company as of January 31,</w:t>
      </w:r>
    </w:p>
    <w:p>
      <w:pPr>
        <w:spacing w:after="0" w:line="39" w:lineRule="exact"/>
        <w:rPr>
          <w:sz w:val="20"/>
          <w:szCs w:val="20"/>
          <w:color w:val="auto"/>
        </w:rPr>
      </w:pPr>
    </w:p>
    <w:p>
      <w:pPr>
        <w:ind w:right="640"/>
        <w:spacing w:after="0" w:line="249" w:lineRule="auto"/>
        <w:rPr>
          <w:sz w:val="20"/>
          <w:szCs w:val="20"/>
          <w:color w:val="auto"/>
        </w:rPr>
      </w:pPr>
      <w:r>
        <w:rPr>
          <w:rFonts w:ascii="Arial" w:cs="Arial" w:eastAsia="Arial" w:hAnsi="Arial"/>
          <w:sz w:val="18"/>
          <w:szCs w:val="18"/>
          <w:color w:val="auto"/>
        </w:rPr>
        <w:t>2021. Accordingly, Autodesk has determined there was no goodwill impairment of our reporting unit during the fiscal year ended January 31, 2021. In addition, Autodesk did not recognize any goodwill impairment losses in fiscal 2020 or 2019.</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the carrying amount of goodwill during the fiscal years ended January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2021</w:t>
            </w:r>
          </w:p>
        </w:tc>
        <w:tc>
          <w:tcPr>
            <w:tcW w:w="140" w:type="dxa"/>
            <w:vAlign w:val="bottom"/>
          </w:tcPr>
          <w:p>
            <w:pPr>
              <w:spacing w:after="0"/>
              <w:rPr>
                <w:sz w:val="17"/>
                <w:szCs w:val="17"/>
                <w:color w:val="auto"/>
              </w:rPr>
            </w:pPr>
          </w:p>
        </w:tc>
        <w:tc>
          <w:tcPr>
            <w:tcW w:w="130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January 31, 2020</w:t>
            </w:r>
          </w:p>
        </w:tc>
      </w:tr>
      <w:tr>
        <w:trPr>
          <w:trHeight w:val="211"/>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beginning of the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2,600.0</w:t>
            </w:r>
          </w:p>
        </w:tc>
      </w:tr>
      <w:tr>
        <w:trPr>
          <w:trHeight w:val="208"/>
        </w:trPr>
        <w:tc>
          <w:tcPr>
            <w:tcW w:w="8240" w:type="dxa"/>
            <w:vAlign w:val="bottom"/>
          </w:tcPr>
          <w:p>
            <w:pPr>
              <w:ind w:left="20"/>
              <w:spacing w:after="0"/>
              <w:rPr>
                <w:sz w:val="20"/>
                <w:szCs w:val="20"/>
                <w:color w:val="auto"/>
              </w:rPr>
            </w:pPr>
            <w:r>
              <w:rPr>
                <w:rFonts w:ascii="Arial" w:cs="Arial" w:eastAsia="Arial" w:hAnsi="Arial"/>
                <w:sz w:val="16"/>
                <w:szCs w:val="16"/>
                <w:color w:val="auto"/>
              </w:rPr>
              <w:t>Less: accumulated impairment losses, beginning of the year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arising from acquisitions during the year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translation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the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Deferred Tax Assets</w:t>
      </w:r>
    </w:p>
    <w:p>
      <w:pPr>
        <w:spacing w:after="0" w:line="241" w:lineRule="exact"/>
        <w:rPr>
          <w:sz w:val="20"/>
          <w:szCs w:val="20"/>
          <w:color w:val="auto"/>
        </w:rPr>
      </w:pPr>
    </w:p>
    <w:p>
      <w:pPr>
        <w:ind w:right="160" w:firstLine="396"/>
        <w:spacing w:after="0" w:line="247"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U.S. capital losses, California and Michigan deferred tax assets and foreign deferred tax assets. Autodesk performed a quarterly assessment of the recoverability of these net deferred tax 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Stock-based Compensation Expense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stock-based compensation expense for fiscal 2021, 2020, and 2019, respectively,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subscription and maintenance revenue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145.0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42"/>
        </w:trPr>
        <w:tc>
          <w:tcPr>
            <w:tcW w:w="6720" w:type="dxa"/>
            <w:vAlign w:val="bottom"/>
          </w:tcPr>
          <w:p>
            <w:pPr>
              <w:ind w:left="20"/>
              <w:spacing w:after="0" w:line="142" w:lineRule="exact"/>
              <w:rPr>
                <w:sz w:val="20"/>
                <w:szCs w:val="20"/>
                <w:color w:val="auto"/>
              </w:rPr>
            </w:pPr>
            <w:r>
              <w:rPr>
                <w:rFonts w:ascii="Arial" w:cs="Arial" w:eastAsia="Arial" w:hAnsi="Arial"/>
                <w:sz w:val="16"/>
                <w:szCs w:val="16"/>
                <w:color w:val="auto"/>
                <w:w w:val="88"/>
              </w:rPr>
              <w:t>Stock-based compensation expense related to stock awards and Employee Qualified Stock Purchase Plan</w:t>
            </w:r>
          </w:p>
        </w:tc>
        <w:tc>
          <w:tcPr>
            <w:tcW w:w="9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399.8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362.4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04"/>
        </w:trPr>
        <w:tc>
          <w:tcPr>
            <w:tcW w:w="6720" w:type="dxa"/>
            <w:vAlign w:val="bottom"/>
          </w:tcPr>
          <w:p>
            <w:pPr>
              <w:ind w:left="180"/>
              <w:spacing w:after="0"/>
              <w:rPr>
                <w:sz w:val="20"/>
                <w:szCs w:val="20"/>
                <w:color w:val="auto"/>
              </w:rPr>
            </w:pPr>
            <w:r>
              <w:rPr>
                <w:rFonts w:ascii="Arial" w:cs="Arial" w:eastAsia="Arial" w:hAnsi="Arial"/>
                <w:sz w:val="16"/>
                <w:szCs w:val="16"/>
                <w:color w:val="auto"/>
              </w:rPr>
              <w:t>("ESPP") purchases</w:t>
            </w: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1"/>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357.8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3"/>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Autodesk measures stock-based compensation cost at the grant date fair value of the award, and recognizes expense ratably over the requisite service period, which is generally the vesting period. Autodesk determines the estimated fair value of stock-based payment awards for stock options and grants of employee stock purchases related to the employee stock purchase plan using either the Black-Scholes-Merton (“BSM”) option-pricing model or a binomial-lattice model (e.g., Monte Carlo simulation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expected term of the award, and expected dividends. The variables used in these models are reviewed on a quarterly basis and adjusted as needed. Share-based compensation cost for restricted stock is measured on the closing fair market value of our common stock on the date of grant. Autodesk uses the following assumptions to estimate the fair value of stock-based awards: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Fiscal Year Ended</w:t>
            </w:r>
          </w:p>
        </w:tc>
        <w:tc>
          <w:tcPr>
            <w:tcW w:w="2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Fiscal Year Ended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January 31, 2021</w:t>
            </w: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January 31, 2020</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January 31, 2019</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Performance</w:t>
            </w: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ESPP</w:t>
            </w: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Performance</w:t>
            </w:r>
          </w:p>
        </w:tc>
        <w:tc>
          <w:tcPr>
            <w:tcW w:w="12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ESPP</w:t>
            </w:r>
          </w:p>
        </w:tc>
        <w:tc>
          <w:tcPr>
            <w:tcW w:w="13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Stock Option</w:t>
            </w:r>
          </w:p>
        </w:tc>
        <w:tc>
          <w:tcPr>
            <w:tcW w:w="12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1"/>
              </w:rPr>
              <w:t>Performance</w:t>
            </w:r>
          </w:p>
        </w:tc>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 Unit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 Unit</w:t>
            </w:r>
          </w:p>
        </w:tc>
        <w:tc>
          <w:tcPr>
            <w:tcW w:w="1260" w:type="dxa"/>
            <w:vAlign w:val="bottom"/>
            <w:gridSpan w:val="2"/>
            <w:vMerge w:val="continue"/>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Plans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Unit</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expected volatilities</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50.7%</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39.4 - 45.8%</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36.3%</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33.0 - 40.0%</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37.0 - 42.0%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35.7%</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33.0 - 38.0%</w:t>
            </w:r>
          </w:p>
        </w:tc>
        <w:tc>
          <w:tcPr>
            <w:tcW w:w="0" w:type="dxa"/>
            <w:vAlign w:val="bottom"/>
          </w:tcPr>
          <w:p>
            <w:pPr>
              <w:spacing w:after="0"/>
              <w:rPr>
                <w:sz w:val="1"/>
                <w:szCs w:val="1"/>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Range of expected lives (in years)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0.5 - 3.8</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04"/>
        </w:trPr>
        <w:tc>
          <w:tcPr>
            <w:tcW w:w="2580" w:type="dxa"/>
            <w:vAlign w:val="bottom"/>
          </w:tcPr>
          <w:p>
            <w:pPr>
              <w:ind w:left="20"/>
              <w:spacing w:after="0"/>
              <w:rPr>
                <w:sz w:val="20"/>
                <w:szCs w:val="20"/>
                <w:color w:val="auto"/>
              </w:rPr>
            </w:pPr>
            <w:r>
              <w:rPr>
                <w:rFonts w:ascii="Arial" w:cs="Arial" w:eastAsia="Arial" w:hAnsi="Arial"/>
                <w:sz w:val="16"/>
                <w:szCs w:val="16"/>
                <w:color w:val="auto"/>
              </w:rPr>
              <w:t>Range of risk-free interest rates</w:t>
            </w: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0.3%</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0.1 - 0.5%</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2.5%</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1.7 - 2.5%</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0"/>
              </w:rPr>
              <w:t>2.3 - 2.7%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2.0%</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1.9 - 2.8%</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80" w:firstLine="435"/>
        <w:spacing w:after="0" w:line="292"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186" w:lineRule="exact"/>
        <w:rPr>
          <w:sz w:val="20"/>
          <w:szCs w:val="20"/>
          <w:color w:val="auto"/>
        </w:rPr>
      </w:pPr>
    </w:p>
    <w:p>
      <w:pPr>
        <w:ind w:right="100" w:firstLine="435"/>
        <w:spacing w:after="0" w:line="363" w:lineRule="auto"/>
        <w:rPr>
          <w:sz w:val="20"/>
          <w:szCs w:val="20"/>
          <w:color w:val="auto"/>
        </w:rPr>
      </w:pPr>
      <w:r>
        <w:rPr>
          <w:rFonts w:ascii="Arial" w:cs="Arial" w:eastAsia="Arial" w:hAnsi="Arial"/>
          <w:sz w:val="15"/>
          <w:szCs w:val="15"/>
          <w:color w:val="auto"/>
        </w:rPr>
        <w:t>Autodesk estimates the expected life of stock-based awards using both exercise behavior and post-vesting termination behavior as well as consideration of outstanding options. The range of expected lives of ESPP awards are based upon the four, six-month exercise periods within a 24-month offering period.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did not pay cash dividends in fiscal 2021, 2020, or 2019 and does not anticipate paying any cash dividends in the foreseeable future.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30"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208" w:lineRule="exact"/>
        <w:rPr>
          <w:sz w:val="20"/>
          <w:szCs w:val="20"/>
          <w:color w:val="auto"/>
        </w:rPr>
      </w:pPr>
    </w:p>
    <w:p>
      <w:pPr>
        <w:ind w:right="380" w:firstLine="435"/>
        <w:spacing w:after="0" w:line="262"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stock-based awards as those forfeitures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Advertising Expenses</w:t>
      </w:r>
    </w:p>
    <w:p>
      <w:pPr>
        <w:spacing w:after="0" w:line="241"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Advertising costs are expensed as incurred. Total advertising expenses incurred were $60.4 million in fiscal 2021, $42.2 million in fiscal 2020, and $37.5 million in fiscal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Income (Loss) Per Share</w:t>
      </w:r>
    </w:p>
    <w:p>
      <w:pPr>
        <w:spacing w:after="0" w:line="241" w:lineRule="exact"/>
        <w:rPr>
          <w:sz w:val="20"/>
          <w:szCs w:val="20"/>
          <w:color w:val="auto"/>
        </w:rPr>
      </w:pPr>
    </w:p>
    <w:p>
      <w:pPr>
        <w:jc w:val="both"/>
        <w:ind w:right="180" w:firstLine="435"/>
        <w:spacing w:after="0" w:line="328" w:lineRule="auto"/>
        <w:rPr>
          <w:sz w:val="20"/>
          <w:szCs w:val="20"/>
          <w:color w:val="auto"/>
        </w:rPr>
      </w:pPr>
      <w:r>
        <w:rPr>
          <w:rFonts w:ascii="Arial" w:cs="Arial" w:eastAsia="Arial" w:hAnsi="Arial"/>
          <w:sz w:val="15"/>
          <w:szCs w:val="15"/>
          <w:color w:val="auto"/>
        </w:rPr>
        <w:t>Basic net income (loss) per share is computed based on the weighted average number of shares of common stock outstanding for the period, excluding stock options and restricted stock. Diluted net income (loss) per share is computed based upon the weighted average shares of common stock outstanding for the period and potentially dilutive common shares, including the effect of stock options and restricted stock units under the treasury stock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41" w:lineRule="exact"/>
        <w:rPr>
          <w:sz w:val="20"/>
          <w:szCs w:val="20"/>
          <w:color w:val="auto"/>
        </w:rPr>
      </w:pPr>
    </w:p>
    <w:p>
      <w:pPr>
        <w:ind w:right="200" w:firstLine="396"/>
        <w:spacing w:after="0" w:line="249"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(loss). Certain events, such as changes in the employee base, plan amendments, and changes in actuarial assumptions may result in a change in the defined benefit obligation and the corresponding change to other comprehensive loss.</w:t>
      </w:r>
    </w:p>
    <w:p>
      <w:pPr>
        <w:spacing w:after="0" w:line="219" w:lineRule="exact"/>
        <w:rPr>
          <w:sz w:val="20"/>
          <w:szCs w:val="20"/>
          <w:color w:val="auto"/>
        </w:rPr>
      </w:pPr>
    </w:p>
    <w:p>
      <w:pPr>
        <w:ind w:right="120" w:firstLine="396"/>
        <w:spacing w:after="0" w:line="292" w:lineRule="auto"/>
        <w:rPr>
          <w:sz w:val="20"/>
          <w:szCs w:val="20"/>
          <w:color w:val="auto"/>
        </w:rPr>
      </w:pPr>
      <w:r>
        <w:rPr>
          <w:rFonts w:ascii="Arial" w:cs="Arial" w:eastAsia="Arial" w:hAnsi="Arial"/>
          <w:sz w:val="16"/>
          <w:szCs w:val="16"/>
          <w:color w:val="auto"/>
        </w:rPr>
        <w:t>Gains and losses and prior service costs not recognized as a component of net periodic benefit cost in the Consolidated Statements of Operations as they arise are recognized as a component of other comprehensive income (loss) in the Consolidated Statements of Comprehensive Income (Loss).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86" w:lineRule="exact"/>
        <w:rPr>
          <w:sz w:val="20"/>
          <w:szCs w:val="20"/>
          <w:color w:val="auto"/>
        </w:rPr>
      </w:pPr>
    </w:p>
    <w:p>
      <w:pPr>
        <w:ind w:right="100" w:firstLine="396"/>
        <w:spacing w:after="0" w:line="300" w:lineRule="auto"/>
        <w:rPr>
          <w:sz w:val="20"/>
          <w:szCs w:val="20"/>
          <w:color w:val="auto"/>
        </w:rPr>
      </w:pPr>
      <w:r>
        <w:rPr>
          <w:rFonts w:ascii="Arial" w:cs="Arial" w:eastAsia="Arial" w:hAnsi="Arial"/>
          <w:sz w:val="16"/>
          <w:szCs w:val="16"/>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in Fiscal 2021</w:t>
      </w:r>
    </w:p>
    <w:p>
      <w:pPr>
        <w:spacing w:after="0" w:line="241" w:lineRule="exact"/>
        <w:rPr>
          <w:sz w:val="20"/>
          <w:szCs w:val="20"/>
          <w:color w:val="auto"/>
        </w:rPr>
      </w:pPr>
    </w:p>
    <w:p>
      <w:pPr>
        <w:ind w:right="540" w:firstLine="435"/>
        <w:spacing w:after="0" w:line="262"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FASB or adopted by the Company during the fiscal year ended January 31, 2021, that are applicable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Adopted</w:t>
      </w:r>
    </w:p>
    <w:p>
      <w:pPr>
        <w:spacing w:after="0" w:line="241" w:lineRule="exact"/>
        <w:rPr>
          <w:sz w:val="20"/>
          <w:szCs w:val="20"/>
          <w:color w:val="auto"/>
        </w:rPr>
      </w:pPr>
    </w:p>
    <w:p>
      <w:pPr>
        <w:ind w:right="200" w:firstLine="396"/>
        <w:spacing w:after="0" w:line="250" w:lineRule="auto"/>
        <w:rPr>
          <w:sz w:val="20"/>
          <w:szCs w:val="20"/>
          <w:color w:val="auto"/>
        </w:rPr>
      </w:pPr>
      <w:r>
        <w:rPr>
          <w:rFonts w:ascii="Arial" w:cs="Arial" w:eastAsia="Arial" w:hAnsi="Arial"/>
          <w:sz w:val="18"/>
          <w:szCs w:val="18"/>
          <w:color w:val="auto"/>
        </w:rPr>
        <w:t>In June 2016, FASB issued ASU No. 2016-13 regarding ASC Topic 326, “Financial Instruments - Credit Losses,” which requires the measurement and recognition of expected credit losses for certain financial instruments using forward-looking information to calculate credit loss estimates. Autodesk adopted ASU 2016-13 as of the effective date which represents Autodesk’s fiscal year beginning February 1, 2020. The ASU did not have a material impact on Autodesk’s consolidated financial statements at adoption.</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Adoption and policy elections</w:t>
      </w:r>
    </w:p>
    <w:p>
      <w:pPr>
        <w:spacing w:after="0" w:line="241" w:lineRule="exact"/>
        <w:rPr>
          <w:sz w:val="20"/>
          <w:szCs w:val="20"/>
          <w:color w:val="auto"/>
        </w:rPr>
      </w:pPr>
    </w:p>
    <w:p>
      <w:pPr>
        <w:ind w:right="140" w:firstLine="396"/>
        <w:spacing w:after="0" w:line="316" w:lineRule="auto"/>
        <w:rPr>
          <w:sz w:val="20"/>
          <w:szCs w:val="20"/>
          <w:color w:val="auto"/>
        </w:rPr>
      </w:pPr>
      <w:r>
        <w:rPr>
          <w:rFonts w:ascii="Arial" w:cs="Arial" w:eastAsia="Arial" w:hAnsi="Arial"/>
          <w:sz w:val="15"/>
          <w:szCs w:val="15"/>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 Allowances for credit losses on trade receivables and contract assets were not material as of January 31, 2021.</w:t>
      </w:r>
    </w:p>
    <w:p>
      <w:pPr>
        <w:spacing w:after="0" w:line="17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Autodesk’s investments in available-for-sale debt securities are subject to a periodic impairment review. If Autodesk does not intend to sell and it is more likely than not that Autodesk will not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96"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“Cash and cash equivalents,” “Prepaid expenses and other current assets,” or “Long-term other assets,” in the accompanying Consolidated Balance Sheets,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Recently Issued Accounting Standards but not yet Adopted</w:t>
      </w:r>
    </w:p>
    <w:p>
      <w:pPr>
        <w:spacing w:after="0" w:line="241" w:lineRule="exact"/>
        <w:rPr>
          <w:sz w:val="20"/>
          <w:szCs w:val="20"/>
          <w:color w:val="auto"/>
        </w:rPr>
      </w:pPr>
    </w:p>
    <w:p>
      <w:pPr>
        <w:ind w:firstLine="396"/>
        <w:spacing w:after="0" w:line="303" w:lineRule="auto"/>
        <w:rPr>
          <w:sz w:val="20"/>
          <w:szCs w:val="20"/>
          <w:color w:val="auto"/>
        </w:rPr>
      </w:pPr>
      <w:r>
        <w:rPr>
          <w:rFonts w:ascii="Arial" w:cs="Arial" w:eastAsia="Arial" w:hAnsi="Arial"/>
          <w:sz w:val="15"/>
          <w:szCs w:val="15"/>
          <w:color w:val="auto"/>
        </w:rPr>
        <w:t>In March 2020, FASB issued ASU No. 2020-04, “Reference Rate Reform (Topic 848): Facilitation of the Effects of Reference Rate Reform on Financial Reporting” (“ASU No. 2020-04”),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will apply the expedients in ASU No. 2020-04 through December 31, 2022. Autodesk does not believe ASU No. 2020-04 will have a material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Disaggregation</w:t>
      </w:r>
    </w:p>
    <w:p>
      <w:pPr>
        <w:spacing w:after="0" w:line="241" w:lineRule="exact"/>
        <w:rPr>
          <w:sz w:val="20"/>
          <w:szCs w:val="20"/>
          <w:color w:val="auto"/>
        </w:rPr>
      </w:pPr>
    </w:p>
    <w:p>
      <w:pPr>
        <w:ind w:right="60" w:firstLine="435"/>
        <w:spacing w:after="0" w:line="253" w:lineRule="auto"/>
        <w:rPr>
          <w:sz w:val="20"/>
          <w:szCs w:val="20"/>
          <w:color w:val="auto"/>
        </w:rPr>
      </w:pPr>
      <w:r>
        <w:rPr>
          <w:rFonts w:ascii="Arial" w:cs="Arial" w:eastAsia="Arial" w:hAnsi="Arial"/>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sales channel, and product type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60" w:type="dxa"/>
            <w:vAlign w:val="bottom"/>
            <w:tcBorders>
              <w:bottom w:val="single" w:sz="8" w:color="auto"/>
            </w:tcBorders>
          </w:tcPr>
          <w:p>
            <w:pPr>
              <w:spacing w:after="0"/>
              <w:rPr>
                <w:sz w:val="16"/>
                <w:szCs w:val="16"/>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2019</w:t>
            </w: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8"/>
        </w:trPr>
        <w:tc>
          <w:tcPr>
            <w:tcW w:w="8100" w:type="dxa"/>
            <w:vAlign w:val="bottom"/>
          </w:tcPr>
          <w:p>
            <w:pPr>
              <w:ind w:left="340"/>
              <w:spacing w:after="0"/>
              <w:rPr>
                <w:sz w:val="20"/>
                <w:szCs w:val="20"/>
                <w:color w:val="auto"/>
              </w:rPr>
            </w:pPr>
            <w:r>
              <w:rPr>
                <w:rFonts w:ascii="Arial" w:cs="Arial" w:eastAsia="Arial" w:hAnsi="Arial"/>
                <w:sz w:val="16"/>
                <w:szCs w:val="16"/>
                <w:color w:val="auto"/>
              </w:rPr>
              <w:t>Architecture, Engineering and Construction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1,648.6</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1,021.6</w:t>
            </w:r>
          </w:p>
        </w:tc>
      </w:tr>
      <w:tr>
        <w:trPr>
          <w:trHeight w:val="21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w:t>
            </w:r>
          </w:p>
        </w:tc>
      </w:tr>
      <w:tr>
        <w:trPr>
          <w:trHeight w:val="208"/>
        </w:trPr>
        <w:tc>
          <w:tcPr>
            <w:tcW w:w="8100" w:type="dxa"/>
            <w:vAlign w:val="bottom"/>
          </w:tcPr>
          <w:p>
            <w:pPr>
              <w:ind w:left="340"/>
              <w:spacing w:after="0"/>
              <w:rPr>
                <w:sz w:val="20"/>
                <w:szCs w:val="20"/>
                <w:color w:val="auto"/>
              </w:rPr>
            </w:pPr>
            <w:r>
              <w:rPr>
                <w:rFonts w:ascii="Arial" w:cs="Arial" w:eastAsia="Arial" w:hAnsi="Arial"/>
                <w:sz w:val="16"/>
                <w:szCs w:val="16"/>
                <w:color w:val="auto"/>
              </w:rPr>
              <w:t>AutoCAD and AutoCAD LT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731.8</w:t>
            </w:r>
          </w:p>
        </w:tc>
      </w:tr>
      <w:tr>
        <w:trPr>
          <w:trHeight w:val="21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Media and Entertainment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8"/>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2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8"/>
        </w:trPr>
        <w:tc>
          <w:tcPr>
            <w:tcW w:w="8100" w:type="dxa"/>
            <w:vAlign w:val="bottom"/>
          </w:tcPr>
          <w:p>
            <w:pPr>
              <w:ind w:left="34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w:t>
            </w:r>
          </w:p>
        </w:tc>
      </w:tr>
      <w:tr>
        <w:trPr>
          <w:trHeight w:val="208"/>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r>
      <w:tr>
        <w:trPr>
          <w:trHeight w:val="208"/>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1,049.9</w:t>
            </w:r>
          </w:p>
        </w:tc>
      </w:tr>
      <w:tr>
        <w:trPr>
          <w:trHeight w:val="208"/>
        </w:trPr>
        <w:tc>
          <w:tcPr>
            <w:tcW w:w="8100" w:type="dxa"/>
            <w:vAlign w:val="bottom"/>
          </w:tcPr>
          <w:p>
            <w:pPr>
              <w:ind w:left="340"/>
              <w:spacing w:after="0"/>
              <w:rPr>
                <w:sz w:val="20"/>
                <w:szCs w:val="20"/>
                <w:color w:val="auto"/>
              </w:rPr>
            </w:pPr>
            <w:r>
              <w:rPr>
                <w:rFonts w:ascii="Arial" w:cs="Arial" w:eastAsia="Arial" w:hAnsi="Arial"/>
                <w:sz w:val="16"/>
                <w:szCs w:val="16"/>
                <w:color w:val="auto"/>
              </w:rPr>
              <w:t>Europe, Middle East and Africa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1,034.3</w:t>
            </w:r>
          </w:p>
        </w:tc>
      </w:tr>
      <w:tr>
        <w:trPr>
          <w:trHeight w:val="21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Asia Pacific</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w:t>
            </w:r>
          </w:p>
        </w:tc>
      </w:tr>
      <w:tr>
        <w:trPr>
          <w:trHeight w:val="201"/>
        </w:trPr>
        <w:tc>
          <w:tcPr>
            <w:tcW w:w="810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0"/>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08"/>
        </w:trPr>
        <w:tc>
          <w:tcPr>
            <w:tcW w:w="8100" w:type="dxa"/>
            <w:vAlign w:val="bottom"/>
          </w:tcPr>
          <w:p>
            <w:pPr>
              <w:ind w:left="20"/>
              <w:spacing w:after="0"/>
              <w:rPr>
                <w:sz w:val="20"/>
                <w:szCs w:val="20"/>
                <w:color w:val="auto"/>
              </w:rPr>
            </w:pPr>
            <w:r>
              <w:rPr>
                <w:rFonts w:ascii="Arial" w:cs="Arial" w:eastAsia="Arial" w:hAnsi="Arial"/>
                <w:sz w:val="16"/>
                <w:szCs w:val="16"/>
                <w:color w:val="auto"/>
              </w:rPr>
              <w:t>Net revenue by sales channel: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Indirect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1,830.8</w:t>
            </w:r>
          </w:p>
        </w:tc>
      </w:tr>
      <w:tr>
        <w:trPr>
          <w:trHeight w:val="208"/>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Direct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739.0</w:t>
            </w:r>
          </w:p>
        </w:tc>
      </w:tr>
      <w:tr>
        <w:trPr>
          <w:trHeight w:val="22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8"/>
        </w:trPr>
        <w:tc>
          <w:tcPr>
            <w:tcW w:w="8100" w:type="dxa"/>
            <w:vAlign w:val="bottom"/>
          </w:tcPr>
          <w:p>
            <w:pPr>
              <w:ind w:left="340"/>
              <w:spacing w:after="0"/>
              <w:rPr>
                <w:sz w:val="20"/>
                <w:szCs w:val="20"/>
                <w:color w:val="auto"/>
              </w:rPr>
            </w:pPr>
            <w:r>
              <w:rPr>
                <w:rFonts w:ascii="Arial" w:cs="Arial" w:eastAsia="Arial" w:hAnsi="Arial"/>
                <w:sz w:val="16"/>
                <w:szCs w:val="16"/>
                <w:color w:val="auto"/>
              </w:rPr>
              <w:t>Design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3,365.8</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2,920.1</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2,347.8</w:t>
            </w:r>
          </w:p>
        </w:tc>
      </w:tr>
      <w:tr>
        <w:trPr>
          <w:trHeight w:val="21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Make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r>
      <w:tr>
        <w:trPr>
          <w:trHeight w:val="208"/>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r>
      <w:tr>
        <w:trPr>
          <w:trHeight w:val="22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firstLine="396"/>
        <w:spacing w:after="0" w:line="250"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payable to customers for which significant estimation or judgment is required as of the reporting date.</w:t>
      </w:r>
    </w:p>
    <w:p>
      <w:pPr>
        <w:spacing w:after="0" w:line="219" w:lineRule="exact"/>
        <w:rPr>
          <w:sz w:val="20"/>
          <w:szCs w:val="20"/>
          <w:color w:val="auto"/>
        </w:rPr>
      </w:pPr>
    </w:p>
    <w:p>
      <w:pPr>
        <w:ind w:right="240" w:firstLine="396"/>
        <w:spacing w:after="0" w:line="292" w:lineRule="auto"/>
        <w:rPr>
          <w:sz w:val="20"/>
          <w:szCs w:val="20"/>
          <w:color w:val="auto"/>
        </w:rPr>
      </w:pPr>
      <w:r>
        <w:rPr>
          <w:rFonts w:ascii="Arial" w:cs="Arial" w:eastAsia="Arial" w:hAnsi="Arial"/>
          <w:sz w:val="16"/>
          <w:szCs w:val="16"/>
          <w:color w:val="auto"/>
        </w:rPr>
        <w:t>Remaining performance obligations consist of total short-term, long-term, and unbilled deferred revenue. As of January 31, 2021, Autodesk had remaining performance obligations of $4.24 billion, which represents the total contract price allocated to remaining performance obligations, which are generally recognized over the next three years. We expect to recognize $2.74 billion or 65% of our remaining performance obligations as revenue during the next 12 months. We expect to recognize the remaining $1.50 billion or 35% of our remaining performance obligations as revenue thereafter.</w:t>
      </w:r>
    </w:p>
    <w:p>
      <w:pPr>
        <w:spacing w:after="0" w:line="186" w:lineRule="exact"/>
        <w:rPr>
          <w:sz w:val="20"/>
          <w:szCs w:val="20"/>
          <w:color w:val="auto"/>
        </w:rPr>
      </w:pPr>
    </w:p>
    <w:p>
      <w:pPr>
        <w:ind w:right="480" w:firstLine="396"/>
        <w:spacing w:after="0" w:line="325" w:lineRule="auto"/>
        <w:rPr>
          <w:sz w:val="20"/>
          <w:szCs w:val="20"/>
          <w:color w:val="auto"/>
        </w:rPr>
      </w:pPr>
      <w:r>
        <w:rPr>
          <w:rFonts w:ascii="Arial" w:cs="Arial" w:eastAsia="Arial" w:hAnsi="Arial"/>
          <w:sz w:val="16"/>
          <w:szCs w:val="16"/>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32BCAD"/>
        </w:rPr>
        <w:t>Contract Balances</w:t>
      </w:r>
    </w:p>
    <w:p>
      <w:pPr>
        <w:spacing w:after="0" w:line="241" w:lineRule="exact"/>
        <w:rPr>
          <w:sz w:val="20"/>
          <w:szCs w:val="20"/>
          <w:color w:val="auto"/>
        </w:rPr>
      </w:pPr>
    </w:p>
    <w:p>
      <w:pPr>
        <w:ind w:right="140" w:firstLine="396"/>
        <w:spacing w:after="0" w:line="300"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January 31, 2021. Deferred revenue relates to billings in advance of performance under the contract. The primary changes in our contract assets and deferred revenues are due to our performance under the contracts and billings.</w:t>
      </w:r>
    </w:p>
    <w:p>
      <w:pPr>
        <w:spacing w:after="0" w:line="181" w:lineRule="exact"/>
        <w:rPr>
          <w:sz w:val="20"/>
          <w:szCs w:val="20"/>
          <w:color w:val="auto"/>
        </w:rPr>
      </w:pPr>
    </w:p>
    <w:p>
      <w:pPr>
        <w:ind w:right="100" w:firstLine="396"/>
        <w:spacing w:after="0" w:line="253" w:lineRule="auto"/>
        <w:rPr>
          <w:sz w:val="20"/>
          <w:szCs w:val="20"/>
          <w:color w:val="auto"/>
        </w:rPr>
      </w:pPr>
      <w:r>
        <w:rPr>
          <w:rFonts w:ascii="Arial" w:cs="Arial" w:eastAsia="Arial" w:hAnsi="Arial"/>
          <w:sz w:val="18"/>
          <w:szCs w:val="18"/>
          <w:color w:val="auto"/>
        </w:rPr>
        <w:t>Revenue recognized during the fiscal year ended January 31, 2021 and 2020, that was included in the deferred revenue balances at January 31, 2020 and 2019, was $2.24 billion and $1.80 billion, respectively. The satisfaction of performance obligations typically lags behind payments received under revenue contracts from customers.</w:t>
      </w:r>
    </w:p>
    <w:p>
      <w:pPr>
        <w:spacing w:after="0" w:line="184" w:lineRule="exact"/>
        <w:rPr>
          <w:sz w:val="20"/>
          <w:szCs w:val="20"/>
          <w:color w:val="auto"/>
        </w:rPr>
      </w:pPr>
    </w:p>
    <w:p>
      <w:pPr>
        <w:ind w:left="360" w:hanging="354"/>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47"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2021 and 2020.</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January 31, 2021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7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300" w:type="dxa"/>
            <w:vAlign w:val="bottom"/>
          </w:tcPr>
          <w:p>
            <w:pPr>
              <w:ind w:left="100"/>
              <w:spacing w:after="0"/>
              <w:rPr>
                <w:sz w:val="20"/>
                <w:szCs w:val="20"/>
                <w:color w:val="auto"/>
              </w:rPr>
            </w:pPr>
            <w:r>
              <w:rPr>
                <w:rFonts w:ascii="Arial" w:cs="Arial" w:eastAsia="Arial" w:hAnsi="Arial"/>
                <w:sz w:val="16"/>
                <w:szCs w:val="16"/>
                <w:color w:val="auto"/>
              </w:rPr>
              <w:t>Other (2)</w:t>
            </w:r>
          </w:p>
        </w:tc>
        <w:tc>
          <w:tcPr>
            <w:tcW w:w="34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100"/>
              <w:spacing w:after="0"/>
              <w:rPr>
                <w:sz w:val="20"/>
                <w:szCs w:val="20"/>
                <w:color w:val="auto"/>
              </w:rPr>
            </w:pPr>
            <w:r>
              <w:rPr>
                <w:rFonts w:ascii="Arial" w:cs="Arial" w:eastAsia="Arial" w:hAnsi="Arial"/>
                <w:sz w:val="16"/>
                <w:szCs w:val="16"/>
                <w:color w:val="auto"/>
              </w:rPr>
              <w:t>Short-term available-for-sale</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300" w:type="dxa"/>
            <w:vAlign w:val="bottom"/>
          </w:tcPr>
          <w:p>
            <w:pPr>
              <w:ind w:left="10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funds (4)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4300" w:type="dxa"/>
            <w:vAlign w:val="bottom"/>
          </w:tcPr>
          <w:p>
            <w:pPr>
              <w:ind w:left="20"/>
              <w:spacing w:after="0"/>
              <w:rPr>
                <w:sz w:val="20"/>
                <w:szCs w:val="20"/>
                <w:color w:val="auto"/>
              </w:rPr>
            </w:pPr>
            <w:r>
              <w:rPr>
                <w:rFonts w:ascii="Arial" w:cs="Arial" w:eastAsia="Arial" w:hAnsi="Arial"/>
                <w:sz w:val="16"/>
                <w:szCs w:val="16"/>
                <w:color w:val="auto"/>
              </w:rPr>
              <w:t>Strategic investments derivative asset (5)</w:t>
            </w:r>
          </w:p>
        </w:tc>
        <w:tc>
          <w:tcPr>
            <w:tcW w:w="34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assets (5)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6"/>
                <w:szCs w:val="16"/>
                <w:color w:val="auto"/>
              </w:rPr>
              <w:t>Derivative contract liabilities (6)</w:t>
            </w:r>
          </w:p>
        </w:tc>
        <w:tc>
          <w:tcPr>
            <w:tcW w:w="3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5" w:lineRule="exact"/>
        <w:rPr>
          <w:rFonts w:ascii="Arial" w:cs="Arial" w:eastAsia="Arial" w:hAnsi="Arial"/>
          <w:sz w:val="16"/>
          <w:szCs w:val="16"/>
          <w:color w:val="auto"/>
        </w:rPr>
      </w:pP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commercial paper and municipal bonds.</w:t>
      </w: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ind w:left="400" w:hanging="394"/>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January 31, 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6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9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120"/>
              <w:spacing w:after="0"/>
              <w:rPr>
                <w:sz w:val="20"/>
                <w:szCs w:val="20"/>
                <w:color w:val="auto"/>
              </w:rPr>
            </w:pPr>
            <w:r>
              <w:rPr>
                <w:rFonts w:ascii="Arial" w:cs="Arial" w:eastAsia="Arial" w:hAnsi="Arial"/>
                <w:sz w:val="16"/>
                <w:szCs w:val="16"/>
                <w:color w:val="auto"/>
              </w:rPr>
              <w:t>Agency discount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8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trading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300"/>
              <w:spacing w:after="0"/>
              <w:rPr>
                <w:sz w:val="20"/>
                <w:szCs w:val="20"/>
                <w:color w:val="auto"/>
              </w:rPr>
            </w:pPr>
            <w:r>
              <w:rPr>
                <w:rFonts w:ascii="Arial" w:cs="Arial" w:eastAsia="Arial" w:hAnsi="Arial"/>
                <w:sz w:val="16"/>
                <w:szCs w:val="16"/>
                <w:color w:val="auto"/>
              </w:rPr>
              <w:t>Mutual funds (3)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w w:val="97"/>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investments derivative asset (4)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Arial" w:cs="Arial" w:eastAsia="Arial" w:hAnsi="Arial"/>
                <w:sz w:val="16"/>
                <w:szCs w:val="16"/>
                <w:color w:val="auto"/>
              </w:rPr>
              <w:t>Derivative contract assets (4)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w w:val="97"/>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liabilities (5)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7"/>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80" w:type="dxa"/>
            <w:vAlign w:val="bottom"/>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97"/>
              </w:rPr>
              <w:t>(6.1)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5" w:lineRule="exact"/>
        <w:rPr>
          <w:rFonts w:ascii="Arial" w:cs="Arial" w:eastAsia="Arial" w:hAnsi="Arial"/>
          <w:sz w:val="16"/>
          <w:szCs w:val="16"/>
          <w:color w:val="auto"/>
        </w:rPr>
      </w:pP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22" w:lineRule="exact"/>
        <w:rPr>
          <w:sz w:val="20"/>
          <w:szCs w:val="20"/>
          <w:color w:val="auto"/>
        </w:rPr>
      </w:pPr>
    </w:p>
    <w:p>
      <w:pPr>
        <w:jc w:val="both"/>
        <w:ind w:right="440" w:firstLine="396"/>
        <w:spacing w:after="0" w:line="25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16" w:lineRule="exact"/>
        <w:rPr>
          <w:sz w:val="20"/>
          <w:szCs w:val="20"/>
          <w:color w:val="auto"/>
        </w:rPr>
      </w:pPr>
    </w:p>
    <w:p>
      <w:pPr>
        <w:ind w:right="40" w:firstLine="396"/>
        <w:spacing w:after="0" w:line="253" w:lineRule="auto"/>
        <w:rPr>
          <w:sz w:val="20"/>
          <w:szCs w:val="20"/>
          <w:color w:val="auto"/>
        </w:rPr>
      </w:pPr>
      <w:r>
        <w:rPr>
          <w:rFonts w:ascii="Arial" w:cs="Arial" w:eastAsia="Arial" w:hAnsi="Arial"/>
          <w:sz w:val="18"/>
          <w:szCs w:val="18"/>
          <w:color w:val="auto"/>
        </w:rPr>
        <w:t>As of January 31, 2021 and 2020,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fiscal 2021.</w:t>
      </w:r>
    </w:p>
    <w:p>
      <w:pPr>
        <w:spacing w:after="0" w:line="216" w:lineRule="exact"/>
        <w:rPr>
          <w:sz w:val="20"/>
          <w:szCs w:val="20"/>
          <w:color w:val="auto"/>
        </w:rPr>
      </w:pPr>
    </w:p>
    <w:p>
      <w:pPr>
        <w:ind w:right="60" w:firstLine="396"/>
        <w:spacing w:after="0" w:line="253" w:lineRule="auto"/>
        <w:rPr>
          <w:sz w:val="20"/>
          <w:szCs w:val="20"/>
          <w:color w:val="auto"/>
        </w:rPr>
      </w:pPr>
      <w:r>
        <w:rPr>
          <w:rFonts w:ascii="Arial" w:cs="Arial" w:eastAsia="Arial" w:hAnsi="Arial"/>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for fiscal 2021. There were no write offs of accrued interest receivables for fiscal 2021.</w:t>
      </w:r>
    </w:p>
    <w:p>
      <w:pPr>
        <w:spacing w:after="0" w:line="216" w:lineRule="exact"/>
        <w:rPr>
          <w:sz w:val="20"/>
          <w:szCs w:val="20"/>
          <w:color w:val="auto"/>
        </w:rPr>
      </w:pPr>
    </w:p>
    <w:p>
      <w:pPr>
        <w:ind w:right="300" w:firstLine="396"/>
        <w:spacing w:after="0" w:line="300" w:lineRule="auto"/>
        <w:rPr>
          <w:sz w:val="20"/>
          <w:szCs w:val="20"/>
          <w:color w:val="auto"/>
        </w:rPr>
      </w:pPr>
      <w:r>
        <w:rPr>
          <w:rFonts w:ascii="Arial" w:cs="Arial" w:eastAsia="Arial" w:hAnsi="Arial"/>
          <w:sz w:val="16"/>
          <w:szCs w:val="16"/>
          <w:color w:val="auto"/>
        </w:rPr>
        <w:t>The sales or redemptions of debt securities in fiscal 2021 resulted in a net gain of $0.6 million. There was no realized gain or loss for the sales or redemptions of debt securities during fiscal 2020. The sales or redemptions of debt securities in fiscal 2019 resulted in a loss of $1.3 million. The gains and losses were recorded in “Interest and other expense, net” on the Company’s Consolidated Statements of Operations.</w:t>
      </w:r>
    </w:p>
    <w:p>
      <w:pPr>
        <w:spacing w:after="0" w:line="181" w:lineRule="exact"/>
        <w:rPr>
          <w:sz w:val="20"/>
          <w:szCs w:val="20"/>
          <w:color w:val="auto"/>
        </w:rPr>
      </w:pPr>
    </w:p>
    <w:p>
      <w:pPr>
        <w:ind w:right="100" w:firstLine="396"/>
        <w:spacing w:after="0" w:line="262" w:lineRule="auto"/>
        <w:rPr>
          <w:sz w:val="20"/>
          <w:szCs w:val="20"/>
          <w:color w:val="auto"/>
        </w:rPr>
      </w:pPr>
      <w:r>
        <w:rPr>
          <w:rFonts w:ascii="Arial" w:cs="Arial" w:eastAsia="Arial" w:hAnsi="Arial"/>
          <w:sz w:val="18"/>
          <w:szCs w:val="18"/>
          <w:color w:val="auto"/>
        </w:rPr>
        <w:t>Proceeds from the sale and maturity of marketable debt securities for fiscal 2021, 2020, and 2019 were $17.0 million, $27.4 million, and $531.0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Strategic investment equity securities</w:t>
      </w:r>
    </w:p>
    <w:p>
      <w:pPr>
        <w:spacing w:after="0" w:line="215" w:lineRule="exact"/>
        <w:rPr>
          <w:sz w:val="20"/>
          <w:szCs w:val="20"/>
          <w:color w:val="auto"/>
        </w:rPr>
      </w:pPr>
    </w:p>
    <w:p>
      <w:pPr>
        <w:ind w:firstLine="396"/>
        <w:spacing w:after="0" w:line="300" w:lineRule="auto"/>
        <w:rPr>
          <w:sz w:val="20"/>
          <w:szCs w:val="20"/>
          <w:color w:val="auto"/>
        </w:rPr>
      </w:pPr>
      <w:r>
        <w:rPr>
          <w:rFonts w:ascii="Arial" w:cs="Arial" w:eastAsia="Arial" w:hAnsi="Arial"/>
          <w:sz w:val="16"/>
          <w:szCs w:val="16"/>
          <w:color w:val="auto"/>
        </w:rPr>
        <w:t>As of January 31, 2021 and 2020, Autodesk had $134.1 million and $122.5 million, respectively, in direct investments in privately held companies. These strategic investment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40" w:firstLine="396"/>
        <w:spacing w:after="0" w:line="261" w:lineRule="auto"/>
        <w:rPr>
          <w:sz w:val="20"/>
          <w:szCs w:val="20"/>
          <w:color w:val="auto"/>
        </w:rPr>
      </w:pPr>
      <w:r>
        <w:rPr>
          <w:rFonts w:ascii="Arial" w:cs="Arial" w:eastAsia="Arial" w:hAnsi="Arial"/>
          <w:sz w:val="18"/>
          <w:szCs w:val="18"/>
          <w:color w:val="auto"/>
        </w:rPr>
        <w:t>Adjustments to the carrying value of our strategic investment equity securities with no readily determined fair values measured using the measurement alternative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1"/>
              </w:rPr>
              <w:t>Fiscal Year Ended</w:t>
            </w: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Cumulative Amount as of</w:t>
            </w:r>
          </w:p>
        </w:tc>
      </w:tr>
      <w:tr>
        <w:trPr>
          <w:trHeight w:val="183"/>
        </w:trPr>
        <w:tc>
          <w:tcPr>
            <w:tcW w:w="49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January 31, 2021</w:t>
            </w:r>
          </w:p>
        </w:tc>
      </w:tr>
      <w:tr>
        <w:trPr>
          <w:trHeight w:val="205"/>
        </w:trPr>
        <w:tc>
          <w:tcPr>
            <w:tcW w:w="4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Upward adjustments (1)</w:t>
            </w: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ind w:left="263"/>
              <w:spacing w:after="0"/>
              <w:rPr>
                <w:sz w:val="20"/>
                <w:szCs w:val="20"/>
                <w:color w:val="auto"/>
              </w:rPr>
            </w:pPr>
            <w:r>
              <w:rPr>
                <w:rFonts w:ascii="Arial" w:cs="Arial" w:eastAsia="Arial" w:hAnsi="Arial"/>
                <w:sz w:val="16"/>
                <w:szCs w:val="16"/>
                <w:color w:val="auto"/>
                <w:w w:val="89"/>
              </w:rPr>
              <w:t>3.2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ind w:left="263"/>
              <w:spacing w:after="0"/>
              <w:rPr>
                <w:sz w:val="20"/>
                <w:szCs w:val="20"/>
                <w:color w:val="auto"/>
              </w:rPr>
            </w:pPr>
            <w:r>
              <w:rPr>
                <w:rFonts w:ascii="Arial" w:cs="Arial" w:eastAsia="Arial" w:hAnsi="Arial"/>
                <w:sz w:val="16"/>
                <w:szCs w:val="16"/>
                <w:color w:val="auto"/>
                <w:w w:val="89"/>
              </w:rPr>
              <w:t>6.2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center"/>
              <w:ind w:left="1224"/>
              <w:spacing w:after="0"/>
              <w:rPr>
                <w:sz w:val="20"/>
                <w:szCs w:val="20"/>
                <w:color w:val="auto"/>
              </w:rPr>
            </w:pPr>
            <w:r>
              <w:rPr>
                <w:rFonts w:ascii="Arial" w:cs="Arial" w:eastAsia="Arial" w:hAnsi="Arial"/>
                <w:sz w:val="16"/>
                <w:szCs w:val="16"/>
                <w:color w:val="auto"/>
                <w:w w:val="89"/>
              </w:rPr>
              <w:t>16.0</w:t>
            </w:r>
          </w:p>
        </w:tc>
      </w:tr>
      <w:tr>
        <w:trPr>
          <w:trHeight w:val="208"/>
        </w:trPr>
        <w:tc>
          <w:tcPr>
            <w:tcW w:w="49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Negative adjustments, including impairments (1)</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w w:val="91"/>
              </w:rPr>
              <w:t>(4.2)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43"/>
              <w:spacing w:after="0"/>
              <w:rPr>
                <w:sz w:val="20"/>
                <w:szCs w:val="20"/>
                <w:color w:val="auto"/>
              </w:rPr>
            </w:pPr>
            <w:r>
              <w:rPr>
                <w:rFonts w:ascii="Arial" w:cs="Arial" w:eastAsia="Arial" w:hAnsi="Arial"/>
                <w:sz w:val="16"/>
                <w:szCs w:val="16"/>
                <w:color w:val="auto"/>
                <w:w w:val="91"/>
              </w:rPr>
              <w:t>(4.8)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204"/>
              <w:spacing w:after="0"/>
              <w:rPr>
                <w:sz w:val="20"/>
                <w:szCs w:val="20"/>
                <w:color w:val="auto"/>
              </w:rPr>
            </w:pPr>
            <w:r>
              <w:rPr>
                <w:rFonts w:ascii="Arial" w:cs="Arial" w:eastAsia="Arial" w:hAnsi="Arial"/>
                <w:sz w:val="16"/>
                <w:szCs w:val="16"/>
                <w:color w:val="auto"/>
                <w:w w:val="90"/>
              </w:rPr>
              <w:t>(60.6)</w:t>
            </w:r>
          </w:p>
        </w:tc>
      </w:tr>
      <w:tr>
        <w:trPr>
          <w:trHeight w:val="208"/>
        </w:trPr>
        <w:tc>
          <w:tcPr>
            <w:tcW w:w="4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Net adjustments</w:t>
            </w: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ind w:left="203"/>
              <w:spacing w:after="0"/>
              <w:rPr>
                <w:sz w:val="20"/>
                <w:szCs w:val="20"/>
                <w:color w:val="auto"/>
              </w:rPr>
            </w:pPr>
            <w:r>
              <w:rPr>
                <w:rFonts w:ascii="Arial" w:cs="Arial" w:eastAsia="Arial" w:hAnsi="Arial"/>
                <w:sz w:val="16"/>
                <w:szCs w:val="16"/>
                <w:color w:val="auto"/>
                <w:w w:val="91"/>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ind w:left="263"/>
              <w:spacing w:after="0"/>
              <w:rPr>
                <w:sz w:val="20"/>
                <w:szCs w:val="20"/>
                <w:color w:val="auto"/>
              </w:rPr>
            </w:pPr>
            <w:r>
              <w:rPr>
                <w:rFonts w:ascii="Arial" w:cs="Arial" w:eastAsia="Arial" w:hAnsi="Arial"/>
                <w:sz w:val="16"/>
                <w:szCs w:val="16"/>
                <w:color w:val="auto"/>
                <w:w w:val="89"/>
              </w:rPr>
              <w:t>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center"/>
              <w:ind w:left="1204"/>
              <w:spacing w:after="0"/>
              <w:rPr>
                <w:sz w:val="20"/>
                <w:szCs w:val="20"/>
                <w:color w:val="auto"/>
              </w:rPr>
            </w:pPr>
            <w:r>
              <w:rPr>
                <w:rFonts w:ascii="Arial" w:cs="Arial" w:eastAsia="Arial" w:hAnsi="Arial"/>
                <w:sz w:val="16"/>
                <w:szCs w:val="16"/>
                <w:color w:val="auto"/>
                <w:w w:val="90"/>
              </w:rPr>
              <w:t>(44.6)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“Interest and other expense, net” on the Company’s Consolidated Statements of Operations.</w:t>
      </w:r>
    </w:p>
    <w:p>
      <w:pPr>
        <w:spacing w:after="0" w:line="22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Autodesk does not consider the remaining investments to be impaired at January 31,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contracts designated as cash flow hedges</w:t>
      </w:r>
    </w:p>
    <w:p>
      <w:pPr>
        <w:spacing w:after="0" w:line="241" w:lineRule="exact"/>
        <w:rPr>
          <w:sz w:val="20"/>
          <w:szCs w:val="20"/>
          <w:color w:val="auto"/>
        </w:rPr>
      </w:pPr>
    </w:p>
    <w:p>
      <w:pPr>
        <w:ind w:right="120" w:firstLine="435"/>
        <w:spacing w:after="0" w:line="287"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$1.14 billion at January 31, 2021, and $981.3 million at January 31, 2020. Outstanding contracts are recognized as either assets or liabilities on the Company’s Consolidated Balance Sheets at fair value. The majority of the net loss of $24.1 million remaining in “Accumulated other comprehensive loss” as of January 31, 2021,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120" w:firstLine="396"/>
        <w:spacing w:after="0" w:line="253"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Consolidated Statements of Operations where the effects of the hedge are recorded were as follows for the fiscal year ended January 31, 2021 and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7"/>
              </w:rPr>
              <w:t>Fiscal Year Ended January 31,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Net revenue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Cost of revenue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Operating expenses</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87"/>
              </w:rPr>
              <w:t>Cost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Subscription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Maintenance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2" w:lineRule="exact"/>
              <w:rPr>
                <w:sz w:val="20"/>
                <w:szCs w:val="20"/>
                <w:color w:val="auto"/>
              </w:rPr>
            </w:pPr>
            <w:r>
              <w:rPr>
                <w:rFonts w:ascii="Arial" w:cs="Arial" w:eastAsia="Arial" w:hAnsi="Arial"/>
                <w:sz w:val="14"/>
                <w:szCs w:val="14"/>
                <w:b w:val="1"/>
                <w:bCs w:val="1"/>
                <w:color w:val="auto"/>
                <w:w w:val="88"/>
              </w:rPr>
              <w:t>subscription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Marketing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Research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General and</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2" w:lineRule="exact"/>
              <w:rPr>
                <w:sz w:val="20"/>
                <w:szCs w:val="20"/>
                <w:color w:val="auto"/>
              </w:rPr>
            </w:pPr>
            <w:r>
              <w:rPr>
                <w:rFonts w:ascii="Arial" w:cs="Arial" w:eastAsia="Arial" w:hAnsi="Arial"/>
                <w:sz w:val="14"/>
                <w:szCs w:val="14"/>
                <w:b w:val="1"/>
                <w:bCs w:val="1"/>
                <w:color w:val="auto"/>
                <w:w w:val="88"/>
              </w:rPr>
              <w:t>maintenance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development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w w:val="96"/>
              </w:rPr>
              <w:t>Total amounts of income and expense line items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32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w w:val="99"/>
              </w:rPr>
              <w:t>presented in the Consolidated Statements of</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32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rPr>
              <w:t>Operations in which the effects of cash flow</w:t>
            </w: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3,478.9</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183.3</w:t>
            </w: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7"/>
              <w:spacing w:after="0"/>
              <w:rPr>
                <w:sz w:val="20"/>
                <w:szCs w:val="20"/>
                <w:color w:val="auto"/>
              </w:rPr>
            </w:pPr>
            <w:r>
              <w:rPr>
                <w:rFonts w:ascii="Arial" w:cs="Arial" w:eastAsia="Arial" w:hAnsi="Arial"/>
                <w:sz w:val="16"/>
                <w:szCs w:val="16"/>
                <w:color w:val="auto"/>
              </w:rPr>
              <w:t>242.1</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1,440.3</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932.5</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413.9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hedges are recorded</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EEFF"/>
          </w:tcPr>
          <w:p>
            <w:pPr>
              <w:jc w:val="center"/>
              <w:ind w:right="81"/>
              <w:spacing w:after="0" w:line="161" w:lineRule="exact"/>
              <w:rPr>
                <w:sz w:val="20"/>
                <w:szCs w:val="20"/>
                <w:color w:val="auto"/>
              </w:rPr>
            </w:pPr>
            <w:r>
              <w:rPr>
                <w:rFonts w:ascii="Arial" w:cs="Arial" w:eastAsia="Arial" w:hAnsi="Arial"/>
                <w:sz w:val="16"/>
                <w:szCs w:val="16"/>
                <w:i w:val="1"/>
                <w:iCs w:val="1"/>
                <w:color w:val="auto"/>
                <w:w w:val="90"/>
              </w:rPr>
              <w:t>(Loss) gain on cash flow hedging relationships in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Subtopic ASC 815-20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6"/>
                <w:szCs w:val="16"/>
                <w:i w:val="1"/>
                <w:iCs w:val="1"/>
                <w:color w:val="auto"/>
              </w:rPr>
              <w:t>Foreign exchange contracts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 w:type="dxa"/>
            <w:vAlign w:val="bottom"/>
            <w:shd w:val="clear" w:color="auto" w:fill="CCEEFF"/>
          </w:tcPr>
          <w:p>
            <w:pPr>
              <w:spacing w:after="0"/>
              <w:rPr>
                <w:sz w:val="14"/>
                <w:szCs w:val="14"/>
                <w:color w:val="auto"/>
              </w:rPr>
            </w:pPr>
          </w:p>
        </w:tc>
        <w:tc>
          <w:tcPr>
            <w:tcW w:w="328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rPr>
              <w:t>Amount of (loss) gain reclassified from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3280" w:type="dxa"/>
            <w:vAlign w:val="bottom"/>
            <w:shd w:val="clear" w:color="auto" w:fill="CCEEFF"/>
          </w:tcPr>
          <w:p>
            <w:pPr>
              <w:ind w:left="400"/>
              <w:spacing w:after="0" w:line="158" w:lineRule="exact"/>
              <w:rPr>
                <w:sz w:val="20"/>
                <w:szCs w:val="20"/>
                <w:color w:val="auto"/>
              </w:rPr>
            </w:pPr>
            <w:r>
              <w:rPr>
                <w:rFonts w:ascii="Arial" w:cs="Arial" w:eastAsia="Arial" w:hAnsi="Arial"/>
                <w:sz w:val="16"/>
                <w:szCs w:val="16"/>
                <w:color w:val="auto"/>
                <w:w w:val="95"/>
              </w:rPr>
              <w:t>accumulated other comprehensive income</w:t>
            </w: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7"/>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into income</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8"/>
              </w:rPr>
              <w:t>Fiscal Year Ended January 31, 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ind w:left="720"/>
              <w:spacing w:after="0"/>
              <w:rPr>
                <w:sz w:val="20"/>
                <w:szCs w:val="20"/>
                <w:color w:val="auto"/>
              </w:rPr>
            </w:pPr>
            <w:r>
              <w:rPr>
                <w:rFonts w:ascii="Arial" w:cs="Arial" w:eastAsia="Arial" w:hAnsi="Arial"/>
                <w:sz w:val="14"/>
                <w:szCs w:val="14"/>
                <w:b w:val="1"/>
                <w:bCs w:val="1"/>
                <w:color w:val="auto"/>
              </w:rPr>
              <w:t>Net revenue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Cost of revenue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Operating expenses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87"/>
              <w:spacing w:after="0" w:line="126" w:lineRule="exact"/>
              <w:rPr>
                <w:sz w:val="20"/>
                <w:szCs w:val="20"/>
                <w:color w:val="auto"/>
              </w:rPr>
            </w:pPr>
            <w:r>
              <w:rPr>
                <w:rFonts w:ascii="Arial" w:cs="Arial" w:eastAsia="Arial" w:hAnsi="Arial"/>
                <w:sz w:val="14"/>
                <w:szCs w:val="14"/>
                <w:b w:val="1"/>
                <w:bCs w:val="1"/>
                <w:color w:val="auto"/>
                <w:w w:val="87"/>
              </w:rPr>
              <w:t>Cost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Maintenance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jc w:val="center"/>
              <w:ind w:right="60"/>
              <w:spacing w:after="0" w:line="132" w:lineRule="exact"/>
              <w:rPr>
                <w:sz w:val="20"/>
                <w:szCs w:val="20"/>
                <w:color w:val="auto"/>
              </w:rPr>
            </w:pPr>
            <w:r>
              <w:rPr>
                <w:rFonts w:ascii="Arial" w:cs="Arial" w:eastAsia="Arial" w:hAnsi="Arial"/>
                <w:sz w:val="14"/>
                <w:szCs w:val="14"/>
                <w:b w:val="1"/>
                <w:bCs w:val="1"/>
                <w:color w:val="auto"/>
                <w:w w:val="88"/>
              </w:rPr>
              <w:t>subscription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Marketing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Research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General and</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88"/>
              </w:rPr>
              <w:t>maintenance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development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280" w:type="dxa"/>
            <w:vAlign w:val="bottom"/>
            <w:tcBorders>
              <w:top w:val="single" w:sz="8" w:color="CCEEFF"/>
            </w:tcBorders>
            <w:shd w:val="clear" w:color="auto" w:fill="CCEEFF"/>
          </w:tcPr>
          <w:p>
            <w:pPr>
              <w:jc w:val="center"/>
              <w:ind w:right="141"/>
              <w:spacing w:after="0" w:line="142" w:lineRule="exact"/>
              <w:rPr>
                <w:sz w:val="20"/>
                <w:szCs w:val="20"/>
                <w:color w:val="auto"/>
              </w:rPr>
            </w:pPr>
            <w:r>
              <w:rPr>
                <w:rFonts w:ascii="Arial" w:cs="Arial" w:eastAsia="Arial" w:hAnsi="Arial"/>
                <w:sz w:val="16"/>
                <w:szCs w:val="16"/>
                <w:color w:val="auto"/>
                <w:w w:val="89"/>
              </w:rPr>
              <w:t>Total amounts of income and expense line items</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8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8"/>
              </w:rPr>
              <w:t>presented in the Consolidated Statements of</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8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Operations in which the effects of cash flow</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2,751.9</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386.6</w:t>
            </w: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223.9</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1,310.3</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851.1</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405.6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hedges are recorded</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280" w:type="dxa"/>
            <w:vAlign w:val="bottom"/>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94"/>
              </w:rPr>
              <w:t>Gain (loss) on cash flow hedging relationships in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Subtopic ASC 815-20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6"/>
                <w:szCs w:val="16"/>
                <w:i w:val="1"/>
                <w:iCs w:val="1"/>
                <w:color w:val="auto"/>
              </w:rPr>
              <w:t>Foreign exchange contracts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280" w:type="dxa"/>
            <w:vAlign w:val="bottom"/>
            <w:shd w:val="clear" w:color="auto" w:fill="CCEEFF"/>
          </w:tcPr>
          <w:p>
            <w:pPr>
              <w:jc w:val="center"/>
              <w:ind w:right="141"/>
              <w:spacing w:after="0" w:line="165" w:lineRule="exact"/>
              <w:rPr>
                <w:sz w:val="20"/>
                <w:szCs w:val="20"/>
                <w:color w:val="auto"/>
              </w:rPr>
            </w:pPr>
            <w:r>
              <w:rPr>
                <w:rFonts w:ascii="Arial" w:cs="Arial" w:eastAsia="Arial" w:hAnsi="Arial"/>
                <w:sz w:val="16"/>
                <w:szCs w:val="16"/>
                <w:color w:val="auto"/>
                <w:w w:val="91"/>
              </w:rPr>
              <w:t>Amount of gain (loss) reclassified from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80" w:type="dxa"/>
            <w:vAlign w:val="bottom"/>
            <w:shd w:val="clear" w:color="auto" w:fill="CCEEFF"/>
          </w:tcPr>
          <w:p>
            <w:pPr>
              <w:ind w:left="440"/>
              <w:spacing w:after="0" w:line="158" w:lineRule="exact"/>
              <w:rPr>
                <w:sz w:val="20"/>
                <w:szCs w:val="20"/>
                <w:color w:val="auto"/>
              </w:rPr>
            </w:pPr>
            <w:r>
              <w:rPr>
                <w:rFonts w:ascii="Arial" w:cs="Arial" w:eastAsia="Arial" w:hAnsi="Arial"/>
                <w:sz w:val="16"/>
                <w:szCs w:val="16"/>
                <w:color w:val="auto"/>
                <w:w w:val="93"/>
              </w:rPr>
              <w:t>accumulated other comprehensive income</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(4.3)</w:t>
            </w:r>
          </w:p>
        </w:tc>
        <w:tc>
          <w:tcPr>
            <w:tcW w:w="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into income</w:t>
            </w:r>
          </w:p>
        </w:tc>
        <w:tc>
          <w:tcPr>
            <w:tcW w:w="1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Derivatives not designated as hedging instruments</w:t>
      </w:r>
    </w:p>
    <w:p>
      <w:pPr>
        <w:spacing w:after="0" w:line="241" w:lineRule="exact"/>
        <w:rPr>
          <w:sz w:val="20"/>
          <w:szCs w:val="20"/>
          <w:color w:val="auto"/>
        </w:rPr>
      </w:pPr>
    </w:p>
    <w:p>
      <w:pPr>
        <w:ind w:right="340" w:firstLine="396"/>
        <w:spacing w:after="0" w:line="253"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$434.5 million at January 31, 2021, and $736.2 million at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Fair Value of Derivative Instruments: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fair values of derivative instruments in Autodesk’s Consolidated Balance Sheets were as follows as of January 31, 2021, and January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Fair Value at</w:t>
            </w:r>
          </w:p>
        </w:tc>
      </w:tr>
      <w:tr>
        <w:trPr>
          <w:trHeight w:val="349"/>
        </w:trPr>
        <w:tc>
          <w:tcPr>
            <w:tcW w:w="5620" w:type="dxa"/>
            <w:vAlign w:val="bottom"/>
          </w:tcPr>
          <w:p>
            <w:pPr>
              <w:spacing w:after="0"/>
              <w:rPr>
                <w:sz w:val="24"/>
                <w:szCs w:val="24"/>
                <w:color w:val="auto"/>
              </w:rPr>
            </w:pPr>
          </w:p>
        </w:tc>
        <w:tc>
          <w:tcPr>
            <w:tcW w:w="262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2021</w:t>
            </w:r>
          </w:p>
        </w:tc>
        <w:tc>
          <w:tcPr>
            <w:tcW w:w="140" w:type="dxa"/>
            <w:vAlign w:val="bottom"/>
          </w:tcPr>
          <w:p>
            <w:pPr>
              <w:spacing w:after="0"/>
              <w:rPr>
                <w:sz w:val="24"/>
                <w:szCs w:val="24"/>
                <w:color w:val="auto"/>
              </w:rPr>
            </w:pPr>
          </w:p>
        </w:tc>
        <w:tc>
          <w:tcPr>
            <w:tcW w:w="128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January 31, 2020</w:t>
            </w:r>
          </w:p>
        </w:tc>
      </w:tr>
      <w:tr>
        <w:trPr>
          <w:trHeight w:val="19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Derivative Assets</w:t>
            </w:r>
          </w:p>
        </w:tc>
        <w:tc>
          <w:tcPr>
            <w:tcW w:w="2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162"/>
        </w:trPr>
        <w:tc>
          <w:tcPr>
            <w:tcW w:w="5620" w:type="dxa"/>
            <w:vAlign w:val="bottom"/>
          </w:tcPr>
          <w:p>
            <w:pPr>
              <w:ind w:left="320"/>
              <w:spacing w:after="0" w:line="161" w:lineRule="exact"/>
              <w:rPr>
                <w:sz w:val="20"/>
                <w:szCs w:val="20"/>
                <w:color w:val="auto"/>
              </w:rPr>
            </w:pPr>
            <w:r>
              <w:rPr>
                <w:rFonts w:ascii="Arial" w:cs="Arial" w:eastAsia="Arial" w:hAnsi="Arial"/>
                <w:sz w:val="16"/>
                <w:szCs w:val="16"/>
                <w:color w:val="auto"/>
              </w:rPr>
              <w:t>Foreign currency contracts designated as cash flow hedges</w:t>
            </w:r>
          </w:p>
        </w:tc>
        <w:tc>
          <w:tcPr>
            <w:tcW w:w="2620" w:type="dxa"/>
            <w:vAlign w:val="bottom"/>
            <w:gridSpan w:val="2"/>
          </w:tcPr>
          <w:p>
            <w:pPr>
              <w:spacing w:after="0" w:line="161" w:lineRule="exact"/>
              <w:rPr>
                <w:sz w:val="20"/>
                <w:szCs w:val="20"/>
                <w:color w:val="auto"/>
              </w:rPr>
            </w:pPr>
            <w:r>
              <w:rPr>
                <w:rFonts w:ascii="Arial" w:cs="Arial" w:eastAsia="Arial" w:hAnsi="Arial"/>
                <w:sz w:val="16"/>
                <w:szCs w:val="16"/>
                <w:color w:val="auto"/>
              </w:rPr>
              <w:t>Prepaid expenses and other current</w:t>
            </w:r>
          </w:p>
        </w:tc>
        <w:tc>
          <w:tcPr>
            <w:tcW w:w="140" w:type="dxa"/>
            <w:vAlign w:val="bottom"/>
          </w:tcPr>
          <w:p>
            <w:pPr>
              <w:jc w:val="right"/>
              <w:spacing w:after="0" w:line="161"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line="161" w:lineRule="exact"/>
              <w:rPr>
                <w:sz w:val="20"/>
                <w:szCs w:val="20"/>
                <w:color w:val="auto"/>
              </w:rPr>
            </w:pPr>
            <w:r>
              <w:rPr>
                <w:rFonts w:ascii="Arial" w:cs="Arial" w:eastAsia="Arial" w:hAnsi="Arial"/>
                <w:sz w:val="16"/>
                <w:szCs w:val="16"/>
                <w:color w:val="auto"/>
              </w:rPr>
              <w:t>4.7</w:t>
            </w:r>
          </w:p>
        </w:tc>
        <w:tc>
          <w:tcPr>
            <w:tcW w:w="100" w:type="dxa"/>
            <w:vAlign w:val="bottom"/>
          </w:tcPr>
          <w:p>
            <w:pPr>
              <w:spacing w:after="0"/>
              <w:rPr>
                <w:sz w:val="14"/>
                <w:szCs w:val="14"/>
                <w:color w:val="auto"/>
              </w:rPr>
            </w:pPr>
          </w:p>
        </w:tc>
        <w:tc>
          <w:tcPr>
            <w:tcW w:w="14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61" w:lineRule="exact"/>
              <w:rPr>
                <w:sz w:val="20"/>
                <w:szCs w:val="20"/>
                <w:color w:val="auto"/>
              </w:rPr>
            </w:pPr>
            <w:r>
              <w:rPr>
                <w:rFonts w:ascii="Arial" w:cs="Arial" w:eastAsia="Arial" w:hAnsi="Arial"/>
                <w:sz w:val="16"/>
                <w:szCs w:val="16"/>
                <w:color w:val="auto"/>
              </w:rPr>
              <w:t>1.0</w:t>
            </w:r>
          </w:p>
        </w:tc>
      </w:tr>
      <w:tr>
        <w:trPr>
          <w:trHeight w:val="204"/>
        </w:trPr>
        <w:tc>
          <w:tcPr>
            <w:tcW w:w="56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65"/>
        </w:trPr>
        <w:tc>
          <w:tcPr>
            <w:tcW w:w="562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Derivatives not designated as hedging instruments</w:t>
            </w:r>
          </w:p>
        </w:tc>
        <w:tc>
          <w:tcPr>
            <w:tcW w:w="262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Prepaid expenses and other current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8.4</w:t>
            </w:r>
          </w:p>
        </w:tc>
      </w:tr>
      <w:tr>
        <w:trPr>
          <w:trHeight w:val="208"/>
        </w:trPr>
        <w:tc>
          <w:tcPr>
            <w:tcW w:w="56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and long-term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01"/>
        </w:trPr>
        <w:tc>
          <w:tcPr>
            <w:tcW w:w="5620" w:type="dxa"/>
            <w:vAlign w:val="bottom"/>
          </w:tcPr>
          <w:p>
            <w:pPr>
              <w:ind w:left="640"/>
              <w:spacing w:after="0"/>
              <w:rPr>
                <w:sz w:val="20"/>
                <w:szCs w:val="20"/>
                <w:color w:val="auto"/>
              </w:rPr>
            </w:pPr>
            <w:r>
              <w:rPr>
                <w:rFonts w:ascii="Arial" w:cs="Arial" w:eastAsia="Arial" w:hAnsi="Arial"/>
                <w:sz w:val="16"/>
                <w:szCs w:val="16"/>
                <w:color w:val="auto"/>
              </w:rPr>
              <w:t>Total derivative assets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i w:val="1"/>
                <w:iCs w:val="1"/>
                <w:color w:val="auto"/>
              </w:rPr>
              <w:t>Derivative Liabilities</w:t>
            </w: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8"/>
        </w:trPr>
        <w:tc>
          <w:tcPr>
            <w:tcW w:w="5620" w:type="dxa"/>
            <w:vAlign w:val="bottom"/>
          </w:tcPr>
          <w:p>
            <w:pPr>
              <w:ind w:left="320"/>
              <w:spacing w:after="0"/>
              <w:rPr>
                <w:sz w:val="20"/>
                <w:szCs w:val="20"/>
                <w:color w:val="auto"/>
              </w:rPr>
            </w:pPr>
            <w:r>
              <w:rPr>
                <w:rFonts w:ascii="Arial" w:cs="Arial" w:eastAsia="Arial" w:hAnsi="Arial"/>
                <w:sz w:val="16"/>
                <w:szCs w:val="16"/>
                <w:color w:val="auto"/>
              </w:rPr>
              <w:t>Foreign currency contracts designated as cash flow hedges</w:t>
            </w:r>
          </w:p>
        </w:tc>
        <w:tc>
          <w:tcPr>
            <w:tcW w:w="2620" w:type="dxa"/>
            <w:vAlign w:val="bottom"/>
            <w:gridSpan w:val="2"/>
          </w:tcPr>
          <w:p>
            <w:pPr>
              <w:spacing w:after="0"/>
              <w:rPr>
                <w:sz w:val="20"/>
                <w:szCs w:val="20"/>
                <w:color w:val="auto"/>
              </w:rPr>
            </w:pPr>
            <w:r>
              <w:rPr>
                <w:rFonts w:ascii="Arial" w:cs="Arial" w:eastAsia="Arial" w:hAnsi="Arial"/>
                <w:sz w:val="16"/>
                <w:szCs w:val="16"/>
                <w:color w:val="auto"/>
              </w:rPr>
              <w:t>Other accrued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Derivatives not designated as hedging instruments</w:t>
            </w: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1"/>
        </w:trPr>
        <w:tc>
          <w:tcPr>
            <w:tcW w:w="5620" w:type="dxa"/>
            <w:vAlign w:val="bottom"/>
          </w:tcPr>
          <w:p>
            <w:pPr>
              <w:ind w:left="640"/>
              <w:spacing w:after="0"/>
              <w:rPr>
                <w:sz w:val="20"/>
                <w:szCs w:val="20"/>
                <w:color w:val="auto"/>
              </w:rPr>
            </w:pPr>
            <w:r>
              <w:rPr>
                <w:rFonts w:ascii="Arial" w:cs="Arial" w:eastAsia="Arial" w:hAnsi="Arial"/>
                <w:sz w:val="16"/>
                <w:szCs w:val="16"/>
                <w:color w:val="auto"/>
              </w:rPr>
              <w:t>Total derivative liabilities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
        </w:trPr>
        <w:tc>
          <w:tcPr>
            <w:tcW w:w="5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2021, 2020, and 2019, respectively (amounts presented include any income tax effects):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Foreign Currency Contracts</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3"/>
              <w:spacing w:after="0"/>
              <w:rPr>
                <w:sz w:val="20"/>
                <w:szCs w:val="20"/>
                <w:color w:val="auto"/>
              </w:rPr>
            </w:pPr>
            <w:r>
              <w:rPr>
                <w:rFonts w:ascii="Arial" w:cs="Arial" w:eastAsia="Arial" w:hAnsi="Arial"/>
                <w:sz w:val="14"/>
                <w:szCs w:val="14"/>
                <w:b w:val="1"/>
                <w:bCs w:val="1"/>
                <w:color w:val="auto"/>
                <w:w w:val="91"/>
              </w:rPr>
              <w:t>Fiscal Year Ended January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8"/>
              </w:rPr>
              <w:t>Amount of (loss) gain recognized in accumulated other comprehensive loss on derivatives (effective portion)</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6"/>
                <w:szCs w:val="16"/>
                <w:i w:val="1"/>
                <w:iCs w:val="1"/>
                <w:color w:val="auto"/>
                <w:w w:val="96"/>
              </w:rPr>
              <w:t>Amount and location of (loss) gain reclassified from accumulated other comprehensive loss into income (loss)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5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540" w:type="dxa"/>
            <w:vAlign w:val="bottom"/>
          </w:tcPr>
          <w:p>
            <w:pPr>
              <w:ind w:left="180"/>
              <w:spacing w:after="0"/>
              <w:rPr>
                <w:sz w:val="20"/>
                <w:szCs w:val="20"/>
                <w:color w:val="auto"/>
              </w:rPr>
            </w:pPr>
            <w:r>
              <w:rPr>
                <w:rFonts w:ascii="Arial" w:cs="Arial" w:eastAsia="Arial" w:hAnsi="Arial"/>
                <w:sz w:val="16"/>
                <w:szCs w:val="16"/>
                <w:i w:val="1"/>
                <w:iCs w:val="1"/>
                <w:color w:val="auto"/>
              </w:rPr>
              <w:t>(effective portion)</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8"/>
        </w:trPr>
        <w:tc>
          <w:tcPr>
            <w:tcW w:w="754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1"/>
        </w:trPr>
        <w:tc>
          <w:tcPr>
            <w:tcW w:w="7540" w:type="dxa"/>
            <w:vAlign w:val="bottom"/>
          </w:tcPr>
          <w:p>
            <w:pPr>
              <w:ind w:left="66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
        </w:trPr>
        <w:tc>
          <w:tcPr>
            <w:tcW w:w="7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360" w:firstLine="435"/>
        <w:spacing w:after="0" w:line="262"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2021, 2020, and 2019, respectively (amounts presented include any income tax effects):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Fiscal Year Ended January 31,</w:t>
            </w:r>
          </w:p>
        </w:tc>
        <w:tc>
          <w:tcPr>
            <w:tcW w:w="820" w:type="dxa"/>
            <w:vAlign w:val="bottom"/>
            <w:tcBorders>
              <w:top w:val="single" w:sz="8" w:color="auto"/>
              <w:bottom w:val="single" w:sz="8" w:color="auto"/>
            </w:tcBorders>
          </w:tcPr>
          <w:p>
            <w:pPr>
              <w:spacing w:after="0"/>
              <w:rPr>
                <w:sz w:val="17"/>
                <w:szCs w:val="17"/>
                <w:color w:val="auto"/>
              </w:rPr>
            </w:pPr>
          </w:p>
        </w:tc>
      </w:tr>
      <w:tr>
        <w:trPr>
          <w:trHeight w:val="178"/>
        </w:trPr>
        <w:tc>
          <w:tcPr>
            <w:tcW w:w="75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r>
      <w:tr>
        <w:trPr>
          <w:trHeight w:val="19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Amount and location of (loss) gain recognized on derivatives in net income (loss)</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4"/>
        </w:trPr>
        <w:tc>
          <w:tcPr>
            <w:tcW w:w="7540" w:type="dxa"/>
            <w:vAlign w:val="bottom"/>
          </w:tcPr>
          <w:p>
            <w:pPr>
              <w:ind w:left="340"/>
              <w:spacing w:after="0"/>
              <w:rPr>
                <w:sz w:val="20"/>
                <w:szCs w:val="20"/>
                <w:color w:val="auto"/>
              </w:rPr>
            </w:pPr>
            <w:r>
              <w:rPr>
                <w:rFonts w:ascii="Arial" w:cs="Arial" w:eastAsia="Arial" w:hAnsi="Arial"/>
                <w:sz w:val="16"/>
                <w:szCs w:val="16"/>
                <w:color w:val="auto"/>
              </w:rPr>
              <w:t>Interest and other expense, net</w:t>
            </w:r>
          </w:p>
        </w:tc>
        <w:tc>
          <w:tcPr>
            <w:tcW w:w="800" w:type="dxa"/>
            <w:vAlign w:val="bottom"/>
          </w:tcPr>
          <w:p>
            <w:pPr>
              <w:jc w:val="right"/>
              <w:ind w:right="62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360" w:hanging="354"/>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 Plans</w:t>
      </w:r>
    </w:p>
    <w:p>
      <w:pPr>
        <w:spacing w:after="0" w:line="241" w:lineRule="exact"/>
        <w:rPr>
          <w:sz w:val="20"/>
          <w:szCs w:val="20"/>
          <w:color w:val="auto"/>
        </w:rPr>
      </w:pPr>
    </w:p>
    <w:p>
      <w:pPr>
        <w:ind w:right="60" w:firstLine="435"/>
        <w:spacing w:after="0" w:line="247" w:lineRule="auto"/>
        <w:rPr>
          <w:sz w:val="20"/>
          <w:szCs w:val="20"/>
          <w:color w:val="auto"/>
        </w:rPr>
      </w:pPr>
      <w:r>
        <w:rPr>
          <w:rFonts w:ascii="Arial" w:cs="Arial" w:eastAsia="Arial" w:hAnsi="Arial"/>
          <w:sz w:val="18"/>
          <w:szCs w:val="18"/>
          <w:color w:val="auto"/>
        </w:rPr>
        <w:t>As of January 31, 2021, Autodesk maintained four active stock plans for the purpose of granting equity awards to employees and to non-employee members of Autodesk’s Board of Directors: the 2012 Employee Stock Plan (as amended, the “2012 Employee Plan”), which is available only to employees, the Autodesk 2012 Outside Directors’ Stock Plan (“2012 Directors’ Plan”), which is available only to non-employee directors, the PlanGrid 2012 Equity Incentive Plan (“PlanGrid 2012 Plan”), which is available to employees who held outstanding unvested options and restricted stock units that were assumed as part of our acquisition of PlanGrid, Inc. and the BuildingConnected, Inc. 2013 Stock Plan (“BuildingConnected 2013 Plan”), which is available to employees who held outstanding unvested options that were assumed as part of our acquisition of BuildingConnected, Inc. Additionally, there is one terminated plan with options outstanding.</w:t>
      </w:r>
    </w:p>
    <w:p>
      <w:pPr>
        <w:spacing w:after="0" w:line="223" w:lineRule="exact"/>
        <w:rPr>
          <w:sz w:val="20"/>
          <w:szCs w:val="20"/>
          <w:color w:val="auto"/>
        </w:rPr>
      </w:pPr>
    </w:p>
    <w:p>
      <w:pPr>
        <w:ind w:right="20" w:firstLine="435"/>
        <w:spacing w:after="0" w:line="279"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Since the 2012 Stock Plan was adopted by stockholders in January 2012, Autodesk has received stockholder approval to increase the number of shares subject to the plan by 36.1 million shares. The 2012 Employee Plan replaced the 2008 Employee Stock Plan, as amended (“2008 Plan”), and no further equity awards may be granted under the 2008 Plan. The 2012 Employee Plan reserves up to 57.3 million shares which includes 51.3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2021, 55.0 million shares subject to options or restricted stock awards have been granted under the 2012 Employee Plan. Options and restricted stock that were granted under the 2012 Employee Plan vest over periods ranging from immediately upon grant to over a three-year period and options expire 10 years from the date of grant. The 2012 Employee Plan will expire on June 30, 2022. At January 31, 2021, 10.0 million shares were available for future issuance under the 2012 Employee Plan.</w:t>
      </w:r>
    </w:p>
    <w:p>
      <w:pPr>
        <w:spacing w:after="0" w:line="203"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2021, 1.0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2021, 0.8 million shares were available for future issuance under the 2012 Directors’ Plan.</w:t>
      </w:r>
    </w:p>
    <w:p>
      <w:pPr>
        <w:spacing w:after="0" w:line="196" w:lineRule="exact"/>
        <w:rPr>
          <w:sz w:val="20"/>
          <w:szCs w:val="20"/>
          <w:color w:val="auto"/>
        </w:rPr>
      </w:pPr>
    </w:p>
    <w:p>
      <w:pPr>
        <w:ind w:right="160" w:firstLine="435"/>
        <w:spacing w:after="0" w:line="292" w:lineRule="auto"/>
        <w:rPr>
          <w:sz w:val="20"/>
          <w:szCs w:val="20"/>
          <w:color w:val="auto"/>
        </w:rPr>
      </w:pPr>
      <w:r>
        <w:rPr>
          <w:rFonts w:ascii="Arial" w:cs="Arial" w:eastAsia="Arial" w:hAnsi="Arial"/>
          <w:sz w:val="16"/>
          <w:szCs w:val="16"/>
          <w:color w:val="auto"/>
        </w:rPr>
        <w:t>Pursuant to the PlanGrid acquisition on December 19, 2018, the Company assumed the unvested options and restricted stock units under the PlanGrid 2012 Plan. No further equity awards will be granted under the PlanGrid 2012 Plan. As of January 31, 2021, approximately 10 thousand shares subject to options remain outstanding under the PlanGrid 2012 Plan. Options that were granted under the PlanGrid 2012 Plan vest over a four-year period and expire 10 years from the date of grant. The PlanGrid 2012 Plan will expire on June 18, 2022.</w:t>
      </w:r>
    </w:p>
    <w:p>
      <w:pPr>
        <w:spacing w:after="0" w:line="186" w:lineRule="exact"/>
        <w:rPr>
          <w:sz w:val="20"/>
          <w:szCs w:val="20"/>
          <w:color w:val="auto"/>
        </w:rPr>
      </w:pPr>
    </w:p>
    <w:p>
      <w:pPr>
        <w:ind w:right="180" w:firstLine="435"/>
        <w:spacing w:after="0" w:line="292" w:lineRule="auto"/>
        <w:rPr>
          <w:sz w:val="20"/>
          <w:szCs w:val="20"/>
          <w:color w:val="auto"/>
        </w:rPr>
      </w:pPr>
      <w:r>
        <w:rPr>
          <w:rFonts w:ascii="Arial" w:cs="Arial" w:eastAsia="Arial" w:hAnsi="Arial"/>
          <w:sz w:val="16"/>
          <w:szCs w:val="16"/>
          <w:color w:val="auto"/>
        </w:rPr>
        <w:t>Pursuant to the BuildingConnected acquisition on January 23, 2019, the Company assumed the unvested options under the BuildingConnected 2013 Plan. No further equity awards will be granted under the BuildingConnected 2013 Plan. As of January 31, 2021, approximately 38 thousand shares subject to options remain outstanding under the BuildingConnected 2013 Plan. Options that were granted under the BuildingConnected 2013 Plan vest over a four-year period and expire 10 years from the date of grant. The BuildingConnected 2013 Plan will expire on May 6, 2023.</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Restricted Stock Units: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2021, is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Unreleased Restricted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4"/>
              <w:spacing w:after="0"/>
              <w:rPr>
                <w:sz w:val="20"/>
                <w:szCs w:val="20"/>
                <w:color w:val="auto"/>
              </w:rPr>
            </w:pPr>
            <w:r>
              <w:rPr>
                <w:rFonts w:ascii="Arial" w:cs="Arial" w:eastAsia="Arial" w:hAnsi="Arial"/>
                <w:sz w:val="14"/>
                <w:szCs w:val="14"/>
                <w:b w:val="1"/>
                <w:bCs w:val="1"/>
                <w:color w:val="auto"/>
                <w:w w:val="90"/>
              </w:rPr>
              <w:t>Weighted average</w:t>
            </w:r>
          </w:p>
        </w:tc>
      </w:tr>
      <w:tr>
        <w:trPr>
          <w:trHeight w:val="132"/>
        </w:trPr>
        <w:tc>
          <w:tcPr>
            <w:tcW w:w="8260" w:type="dxa"/>
            <w:vAlign w:val="bottom"/>
          </w:tcPr>
          <w:p>
            <w:pPr>
              <w:spacing w:after="0"/>
              <w:rPr>
                <w:sz w:val="11"/>
                <w:szCs w:val="11"/>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4"/>
              <w:spacing w:after="0" w:line="132" w:lineRule="exact"/>
              <w:rPr>
                <w:sz w:val="20"/>
                <w:szCs w:val="20"/>
                <w:color w:val="auto"/>
              </w:rPr>
            </w:pPr>
            <w:r>
              <w:rPr>
                <w:rFonts w:ascii="Arial" w:cs="Arial" w:eastAsia="Arial" w:hAnsi="Arial"/>
                <w:sz w:val="14"/>
                <w:szCs w:val="14"/>
                <w:b w:val="1"/>
                <w:bCs w:val="1"/>
                <w:color w:val="auto"/>
                <w:w w:val="93"/>
              </w:rPr>
              <w:t>grant date fair value</w:t>
            </w:r>
          </w:p>
        </w:tc>
      </w:tr>
      <w:tr>
        <w:trPr>
          <w:trHeight w:val="184"/>
        </w:trPr>
        <w:tc>
          <w:tcPr>
            <w:tcW w:w="82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8"/>
              </w:rPr>
              <w:t>per share</w:t>
            </w:r>
          </w:p>
        </w:tc>
      </w:tr>
      <w:tr>
        <w:trPr>
          <w:trHeight w:val="20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147.24</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2,462.2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224.20</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142.15</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Canceled/Forfeited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(327.8)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158.00</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190.74</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191.88</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ind w:left="400" w:right="420" w:hanging="394"/>
        <w:spacing w:after="0" w:line="251"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2020 performance period. The performance stock units were attained at rates ranging from 96.6% to 101.1% of the target award.</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restricted stock granted during fiscal years ended January 31, 2021, 2020, and 2019, the weighted average grant date fair values were $224.20,</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$156.24, and $144.37, respectively. The fair value of the shares vested during fiscal years ended January 31, 2021, 2020, and 2019 were $503.4 million, $361.0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million, and $425.4 million, respectively.</w:t>
      </w:r>
    </w:p>
    <w:p>
      <w:pPr>
        <w:spacing w:after="0" w:line="230"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auto"/>
        </w:rPr>
        <w:t>During the fiscal year ended January 31, 2021, Autodesk granted 2.2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w:t>
      </w:r>
    </w:p>
    <w:p>
      <w:pPr>
        <w:spacing w:after="0" w:line="219" w:lineRule="exact"/>
        <w:rPr>
          <w:sz w:val="20"/>
          <w:szCs w:val="20"/>
          <w:color w:val="auto"/>
        </w:rPr>
      </w:pPr>
    </w:p>
    <w:p>
      <w:pPr>
        <w:ind w:right="40" w:firstLine="396"/>
        <w:spacing w:after="0" w:line="300" w:lineRule="auto"/>
        <w:rPr>
          <w:sz w:val="20"/>
          <w:szCs w:val="20"/>
          <w:color w:val="auto"/>
        </w:rPr>
      </w:pPr>
      <w:r>
        <w:rPr>
          <w:rFonts w:ascii="Arial" w:cs="Arial" w:eastAsia="Arial" w:hAnsi="Arial"/>
          <w:sz w:val="16"/>
          <w:szCs w:val="16"/>
          <w:color w:val="auto"/>
        </w:rPr>
        <w:t>During the fiscal years ended January 31, 2021 and 2020, Autodesk settled liability-classified awards of $28.7 million and $23.5 million, respectively.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181" w:lineRule="exact"/>
        <w:rPr>
          <w:sz w:val="20"/>
          <w:szCs w:val="20"/>
          <w:color w:val="auto"/>
        </w:rPr>
      </w:pPr>
    </w:p>
    <w:p>
      <w:pPr>
        <w:ind w:right="60" w:firstLine="396"/>
        <w:spacing w:after="0" w:line="250" w:lineRule="auto"/>
        <w:rPr>
          <w:sz w:val="20"/>
          <w:szCs w:val="20"/>
          <w:color w:val="auto"/>
        </w:rPr>
      </w:pPr>
      <w:r>
        <w:rPr>
          <w:rFonts w:ascii="Arial" w:cs="Arial" w:eastAsia="Arial" w:hAnsi="Arial"/>
          <w:sz w:val="18"/>
          <w:szCs w:val="18"/>
          <w:color w:val="auto"/>
        </w:rPr>
        <w:t>Autodesk recorded stock-based compensation expense related to restricted stock units of $308.9 million, $274.5 million, and $189.3 million during fiscal years ended January 31, 2021, 2020, and 2019, respectively. As of January 31, 2021, total compensation cost not yet recognized of $617.7 million related to non-vested awards is expected to be recognized over a weighted average period of 1.8 years. At January 31, 2021, the number of restricted stock units granted but unvested was 4.1 million.</w:t>
      </w:r>
    </w:p>
    <w:p>
      <w:pPr>
        <w:spacing w:after="0" w:line="219"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During the fiscal year ended January 31, 2021, Autodesk granted 0.3 million performance stock units for which the ultimate number of shares earned is determined based on the achievement of performance criteria at the end of the stated service and performance period. The performance criteria for the performance stock units vested during fiscal 2021 are based on revenue goals adopted by the Compensation and Human Resource Committee and, as applicable, total stockholder return compared against companies in the S&amp;P North American Technology Software Index with a market capitalization over $2.0 billion (“Relative TSR”). These performance stock units vest over a three-year period and have the following vesting schedule:</w:t>
      </w:r>
    </w:p>
    <w:p>
      <w:pPr>
        <w:spacing w:after="0" w:line="192" w:lineRule="exact"/>
        <w:rPr>
          <w:sz w:val="20"/>
          <w:szCs w:val="20"/>
          <w:color w:val="auto"/>
        </w:rPr>
      </w:pPr>
    </w:p>
    <w:p>
      <w:pPr>
        <w:ind w:left="640" w:right="300" w:hanging="318"/>
        <w:spacing w:after="0" w:line="262"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2021 as well as 1-year Relative TSR (covering year one).</w:t>
      </w:r>
    </w:p>
    <w:p>
      <w:pPr>
        <w:spacing w:after="0" w:line="207" w:lineRule="exact"/>
        <w:rPr>
          <w:rFonts w:ascii="Arial" w:cs="Arial" w:eastAsia="Arial" w:hAnsi="Arial"/>
          <w:sz w:val="18"/>
          <w:szCs w:val="18"/>
          <w:color w:val="auto"/>
        </w:rPr>
      </w:pPr>
    </w:p>
    <w:p>
      <w:pPr>
        <w:ind w:left="640" w:right="60" w:hanging="318"/>
        <w:spacing w:after="0" w:line="262"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207" w:lineRule="exact"/>
        <w:rPr>
          <w:rFonts w:ascii="Arial" w:cs="Arial" w:eastAsia="Arial" w:hAnsi="Arial"/>
          <w:sz w:val="18"/>
          <w:szCs w:val="18"/>
          <w:color w:val="auto"/>
        </w:rPr>
      </w:pPr>
    </w:p>
    <w:p>
      <w:pPr>
        <w:ind w:left="640" w:right="280" w:hanging="318"/>
        <w:spacing w:after="0" w:line="262"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00" w:firstLine="396"/>
        <w:spacing w:after="0" w:line="250"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grant-date fair value for these awards using the stock price on the date of grant or if the awards are subject to a market condition, a Monte Carlo simulation model. The fair value of the performance stock units is expensed using the accelerated attribution over the vesting period.</w:t>
      </w:r>
    </w:p>
    <w:p>
      <w:pPr>
        <w:spacing w:after="0" w:line="219" w:lineRule="exact"/>
        <w:rPr>
          <w:sz w:val="20"/>
          <w:szCs w:val="20"/>
          <w:color w:val="auto"/>
        </w:rPr>
      </w:pPr>
    </w:p>
    <w:p>
      <w:pPr>
        <w:ind w:right="60" w:firstLine="396"/>
        <w:spacing w:after="0" w:line="250" w:lineRule="auto"/>
        <w:rPr>
          <w:sz w:val="20"/>
          <w:szCs w:val="20"/>
          <w:color w:val="auto"/>
        </w:rPr>
      </w:pPr>
      <w:r>
        <w:rPr>
          <w:rFonts w:ascii="Arial" w:cs="Arial" w:eastAsia="Arial" w:hAnsi="Arial"/>
          <w:sz w:val="18"/>
          <w:szCs w:val="18"/>
          <w:color w:val="auto"/>
        </w:rPr>
        <w:t>Autodesk recorded stock-based compensation expense related to performance stock units of $30.7 million, $27.1 million, and $28.6 million during fiscal years ended January 31, 2021, 2020, and 2019 respectively. As of January 31, 2021, total compensation cost not yet recognized of $5.0 million related to unvested performance stock units, is expected to be recognized over a weighted average period of 0.8 years. At January 31, 2021, the number of performance stock units granted but unvested was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Common Stock</w:t>
      </w:r>
    </w:p>
    <w:p>
      <w:pPr>
        <w:spacing w:after="0" w:line="241" w:lineRule="exact"/>
        <w:rPr>
          <w:sz w:val="20"/>
          <w:szCs w:val="20"/>
          <w:color w:val="auto"/>
        </w:rPr>
      </w:pPr>
    </w:p>
    <w:p>
      <w:pPr>
        <w:ind w:right="40" w:firstLine="435"/>
        <w:spacing w:after="0" w:line="270" w:lineRule="auto"/>
        <w:rPr>
          <w:sz w:val="20"/>
          <w:szCs w:val="20"/>
          <w:color w:val="auto"/>
        </w:rPr>
      </w:pPr>
      <w:r>
        <w:rPr>
          <w:rFonts w:ascii="Arial" w:cs="Arial" w:eastAsia="Arial" w:hAnsi="Arial"/>
          <w:sz w:val="16"/>
          <w:szCs w:val="16"/>
          <w:color w:val="auto"/>
        </w:rPr>
        <w:t>Autodesk agreed to issue a fixed amount of $4.9 million in common stock at a future date to certain employees in connection with a fiscal 2021 acquisition. Issuance of the common stock is dependent on the respective employees’ continued employment through the vesting period. The number of shares to be issued will be determined based on the fair value of Autodesk’s common stock at the issuance date. Shares to be issued are estimated to be 17,662 based on the closing price of Autodesk’s common stock on January 29, 2021, the last trading day before Autodesk’s fiscal 2021 year-end. The awards are accounted for as liability-classified awards and are recognized as compensation expense using the straight-line method over the vesting period.</w:t>
      </w:r>
    </w:p>
    <w:p>
      <w:pPr>
        <w:spacing w:after="0" w:line="192" w:lineRule="exact"/>
        <w:rPr>
          <w:sz w:val="20"/>
          <w:szCs w:val="20"/>
          <w:color w:val="auto"/>
        </w:rPr>
      </w:pPr>
    </w:p>
    <w:p>
      <w:pPr>
        <w:ind w:right="160" w:firstLine="435"/>
        <w:spacing w:after="0" w:line="236" w:lineRule="auto"/>
        <w:rPr>
          <w:sz w:val="20"/>
          <w:szCs w:val="20"/>
          <w:color w:val="auto"/>
        </w:rPr>
      </w:pPr>
      <w:r>
        <w:rPr>
          <w:rFonts w:ascii="Arial" w:cs="Arial" w:eastAsia="Arial" w:hAnsi="Arial"/>
          <w:sz w:val="18"/>
          <w:szCs w:val="18"/>
          <w:color w:val="auto"/>
        </w:rPr>
        <w:t>Autodesk issued 73,632 shares of restricted common stock to certain employees in connection with a fiscal 2021 acquisition. These shares of restricted common stock are subject to forfeiture by the employee if employment terminates prior to the three-year employment period. The fair value of the restricted common stock is recorded as compensation for post-acquisition services and recognized as expense using the straight-line method over the three-year repurchase period. See Note 6, “Acquisitions,” for further discussion.</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recorded stock-based compensation expense of $2.4 million during the fiscal year ended January 31, 2021, related to common stock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1998 Employee Qualified Stock Purchase Plan (“ESPP”)</w:t>
      </w:r>
    </w:p>
    <w:p>
      <w:pPr>
        <w:spacing w:after="0" w:line="241" w:lineRule="exact"/>
        <w:rPr>
          <w:sz w:val="20"/>
          <w:szCs w:val="20"/>
          <w:color w:val="auto"/>
        </w:rPr>
      </w:pPr>
    </w:p>
    <w:p>
      <w:pPr>
        <w:ind w:right="80" w:firstLine="435"/>
        <w:spacing w:after="0" w:line="300"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81"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At January 31, 2021, a total of 6.4 million shares were available for future issuance. Under the ESPP, the Company issues shares on the first trading day following March 31 and September 30 of each fiscal year. The ESPP does not have an expiration date.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fiscal years ended January 31, 2021, 2020, and 2019 is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Fiscal year ended January 31,</w:t>
            </w:r>
          </w:p>
        </w:tc>
        <w:tc>
          <w:tcPr>
            <w:tcW w:w="1000" w:type="dxa"/>
            <w:vAlign w:val="bottom"/>
            <w:tcBorders>
              <w:top w:val="single" w:sz="8" w:color="auto"/>
              <w:bottom w:val="single" w:sz="8" w:color="auto"/>
            </w:tcBorders>
          </w:tcPr>
          <w:p>
            <w:pPr>
              <w:spacing w:after="0"/>
              <w:rPr>
                <w:sz w:val="17"/>
                <w:szCs w:val="17"/>
                <w:color w:val="auto"/>
              </w:rPr>
            </w:pPr>
          </w:p>
        </w:tc>
      </w:tr>
      <w:tr>
        <w:trPr>
          <w:trHeight w:val="178"/>
        </w:trPr>
        <w:tc>
          <w:tcPr>
            <w:tcW w:w="70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r>
      <w:tr>
        <w:trPr>
          <w:trHeight w:val="205"/>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Issued shares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8"/>
        </w:trPr>
        <w:tc>
          <w:tcPr>
            <w:tcW w:w="7000" w:type="dxa"/>
            <w:vAlign w:val="bottom"/>
          </w:tcPr>
          <w:p>
            <w:pPr>
              <w:spacing w:after="0"/>
              <w:rPr>
                <w:sz w:val="20"/>
                <w:szCs w:val="20"/>
                <w:color w:val="auto"/>
              </w:rPr>
            </w:pPr>
            <w:r>
              <w:rPr>
                <w:rFonts w:ascii="Arial" w:cs="Arial" w:eastAsia="Arial" w:hAnsi="Arial"/>
                <w:sz w:val="16"/>
                <w:szCs w:val="16"/>
                <w:color w:val="auto"/>
              </w:rPr>
              <w:t>Average price of issued shares</w:t>
            </w:r>
          </w:p>
        </w:tc>
        <w:tc>
          <w:tcPr>
            <w:tcW w:w="800" w:type="dxa"/>
            <w:vAlign w:val="bottom"/>
          </w:tcPr>
          <w:p>
            <w:pPr>
              <w:jc w:val="right"/>
              <w:ind w:right="62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
              <w:spacing w:after="0"/>
              <w:rPr>
                <w:sz w:val="20"/>
                <w:szCs w:val="20"/>
                <w:color w:val="auto"/>
              </w:rPr>
            </w:pPr>
            <w:r>
              <w:rPr>
                <w:rFonts w:ascii="Arial" w:cs="Arial" w:eastAsia="Arial" w:hAnsi="Arial"/>
                <w:sz w:val="16"/>
                <w:szCs w:val="16"/>
                <w:color w:val="auto"/>
                <w:w w:val="85"/>
              </w:rPr>
              <w:t>122.73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102.20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90.25</w:t>
            </w:r>
          </w:p>
        </w:tc>
      </w:tr>
      <w:tr>
        <w:trPr>
          <w:trHeight w:val="214"/>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grant date fair value of awards granted under the ESPP</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w:t>
            </w:r>
          </w:p>
        </w:tc>
      </w:tr>
    </w:tbl>
    <w:p>
      <w:pPr>
        <w:spacing w:after="0" w:line="304" w:lineRule="exact"/>
        <w:rPr>
          <w:sz w:val="20"/>
          <w:szCs w:val="20"/>
          <w:color w:val="auto"/>
        </w:rPr>
      </w:pPr>
    </w:p>
    <w:p>
      <w:pPr>
        <w:ind w:right="220" w:firstLine="435"/>
        <w:spacing w:after="0" w:line="262" w:lineRule="auto"/>
        <w:rPr>
          <w:sz w:val="20"/>
          <w:szCs w:val="20"/>
          <w:color w:val="auto"/>
        </w:rPr>
      </w:pPr>
      <w:r>
        <w:rPr>
          <w:rFonts w:ascii="Arial" w:cs="Arial" w:eastAsia="Arial" w:hAnsi="Arial"/>
          <w:sz w:val="18"/>
          <w:szCs w:val="18"/>
          <w:color w:val="auto"/>
        </w:rPr>
        <w:t>Autodesk recorded $40.1 million, $33.3 million, and $27.2 million of compensation expense associated with the ESPP in fiscal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Equity Compensation Plan Information</w:t>
      </w:r>
    </w:p>
    <w:p>
      <w:pPr>
        <w:spacing w:after="0" w:line="241"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2021:</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w:t>
            </w:r>
          </w:p>
        </w:tc>
        <w:tc>
          <w:tcPr>
            <w:tcW w:w="3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Number of securities to be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w w:val="90"/>
              </w:rPr>
              <w:t>Number of securities remaining available</w:t>
            </w: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8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issued upon exercise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Weighted-average exercise</w:t>
            </w:r>
          </w:p>
        </w:tc>
        <w:tc>
          <w:tcPr>
            <w:tcW w:w="3060" w:type="dxa"/>
            <w:vAlign w:val="bottom"/>
            <w:gridSpan w:val="2"/>
          </w:tcPr>
          <w:p>
            <w:pPr>
              <w:jc w:val="center"/>
              <w:ind w:right="460"/>
              <w:spacing w:after="0" w:line="132" w:lineRule="exact"/>
              <w:rPr>
                <w:sz w:val="20"/>
                <w:szCs w:val="20"/>
                <w:color w:val="auto"/>
              </w:rPr>
            </w:pPr>
            <w:r>
              <w:rPr>
                <w:rFonts w:ascii="Arial" w:cs="Arial" w:eastAsia="Arial" w:hAnsi="Arial"/>
                <w:sz w:val="14"/>
                <w:szCs w:val="14"/>
                <w:b w:val="1"/>
                <w:bCs w:val="1"/>
                <w:color w:val="auto"/>
                <w:w w:val="89"/>
              </w:rPr>
              <w:t>for future issuance under equity</w:t>
            </w:r>
          </w:p>
        </w:tc>
        <w:tc>
          <w:tcPr>
            <w:tcW w:w="0" w:type="dxa"/>
            <w:vAlign w:val="bottom"/>
          </w:tcPr>
          <w:p>
            <w:pPr>
              <w:spacing w:after="0"/>
              <w:rPr>
                <w:sz w:val="1"/>
                <w:szCs w:val="1"/>
                <w:color w:val="auto"/>
              </w:rPr>
            </w:pPr>
          </w:p>
        </w:tc>
      </w:tr>
      <w:tr>
        <w:trPr>
          <w:trHeight w:val="132"/>
        </w:trPr>
        <w:tc>
          <w:tcPr>
            <w:tcW w:w="42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vesting of outstanding 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3060" w:type="dxa"/>
            <w:vAlign w:val="bottom"/>
            <w:gridSpan w:val="2"/>
          </w:tcPr>
          <w:p>
            <w:pPr>
              <w:jc w:val="center"/>
              <w:ind w:right="460"/>
              <w:spacing w:after="0" w:line="132" w:lineRule="exact"/>
              <w:rPr>
                <w:sz w:val="20"/>
                <w:szCs w:val="20"/>
                <w:color w:val="auto"/>
              </w:rPr>
            </w:pPr>
            <w:r>
              <w:rPr>
                <w:rFonts w:ascii="Arial" w:cs="Arial" w:eastAsia="Arial" w:hAnsi="Arial"/>
                <w:sz w:val="14"/>
                <w:szCs w:val="14"/>
                <w:b w:val="1"/>
                <w:bCs w:val="1"/>
                <w:color w:val="auto"/>
                <w:w w:val="87"/>
              </w:rPr>
              <w:t>compensation plans (excluding securities</w:t>
            </w: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awards (in millions)</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price of outstanding options</w:t>
            </w:r>
          </w:p>
        </w:tc>
        <w:tc>
          <w:tcPr>
            <w:tcW w:w="1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reflected in column (a)) (in millions)</w:t>
            </w:r>
          </w:p>
        </w:tc>
        <w:tc>
          <w:tcPr>
            <w:tcW w:w="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8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280"/>
              <w:spacing w:after="0"/>
              <w:rPr>
                <w:sz w:val="20"/>
                <w:szCs w:val="20"/>
                <w:color w:val="auto"/>
              </w:rPr>
            </w:pPr>
            <w:r>
              <w:rPr>
                <w:rFonts w:ascii="Arial" w:cs="Arial" w:eastAsia="Arial" w:hAnsi="Arial"/>
                <w:sz w:val="16"/>
                <w:szCs w:val="16"/>
                <w:color w:val="auto"/>
              </w:rPr>
              <w:t>17.3 (1)</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Arial" w:cs="Arial" w:eastAsia="Arial" w:hAnsi="Arial"/>
                <w:sz w:val="16"/>
                <w:szCs w:val="16"/>
                <w:color w:val="auto"/>
              </w:rPr>
              <w:t>Total</w:t>
            </w:r>
          </w:p>
        </w:tc>
        <w:tc>
          <w:tcPr>
            <w:tcW w:w="1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4.7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5"/>
              <w:spacing w:after="0"/>
              <w:rPr>
                <w:sz w:val="20"/>
                <w:szCs w:val="20"/>
                <w:color w:val="auto"/>
              </w:rPr>
            </w:pPr>
            <w:r>
              <w:rPr>
                <w:rFonts w:ascii="Arial" w:cs="Arial" w:eastAsia="Arial" w:hAnsi="Arial"/>
                <w:sz w:val="16"/>
                <w:szCs w:val="16"/>
                <w:color w:val="auto"/>
              </w:rPr>
              <w:t>23.75</w:t>
            </w:r>
          </w:p>
        </w:tc>
        <w:tc>
          <w:tcPr>
            <w:tcW w:w="100" w:type="dxa"/>
            <w:vAlign w:val="bottom"/>
          </w:tcPr>
          <w:p>
            <w:pPr>
              <w:spacing w:after="0"/>
              <w:rPr>
                <w:sz w:val="17"/>
                <w:szCs w:val="17"/>
                <w:color w:val="auto"/>
              </w:rPr>
            </w:pPr>
          </w:p>
        </w:tc>
        <w:tc>
          <w:tcPr>
            <w:tcW w:w="2620" w:type="dxa"/>
            <w:vAlign w:val="bottom"/>
            <w:tcBorders>
              <w:top w:val="single" w:sz="8" w:color="auto"/>
              <w:bottom w:val="single" w:sz="8" w:color="auto"/>
            </w:tcBorders>
          </w:tcPr>
          <w:p>
            <w:pPr>
              <w:ind w:left="2280"/>
              <w:spacing w:after="0"/>
              <w:rPr>
                <w:sz w:val="20"/>
                <w:szCs w:val="20"/>
                <w:color w:val="auto"/>
              </w:rPr>
            </w:pPr>
            <w:r>
              <w:rPr>
                <w:rFonts w:ascii="Arial" w:cs="Arial" w:eastAsia="Arial" w:hAnsi="Arial"/>
                <w:sz w:val="16"/>
                <w:szCs w:val="16"/>
                <w:color w:val="auto"/>
              </w:rPr>
              <w:t>17.3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Included in this amount are 6.4 million securities available for future issuance under Autodesk’s ESPP.</w:t>
      </w:r>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Income Taxes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8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19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Current</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(741.0)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Deferred</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Current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1"/>
        </w:trPr>
        <w:tc>
          <w:tcPr>
            <w:tcW w:w="672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(661.5)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3"/>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Foreign pretax income was $527.8 million in fiscal 2021, $475.5 million in fiscal 2020, and $181.4 million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8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at U.S. Federal statutory rate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Valuation allowance adjustment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(661.7)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tax and revisions due to subsequent regulations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windfall / shortfall</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6720" w:type="dxa"/>
            <w:vAlign w:val="bottom"/>
          </w:tcPr>
          <w:p>
            <w:pPr>
              <w:ind w:left="20"/>
              <w:spacing w:after="0"/>
              <w:rPr>
                <w:sz w:val="20"/>
                <w:szCs w:val="20"/>
                <w:color w:val="auto"/>
              </w:rPr>
            </w:pPr>
            <w:r>
              <w:rPr>
                <w:rFonts w:ascii="Arial" w:cs="Arial" w:eastAsia="Arial" w:hAnsi="Arial"/>
                <w:sz w:val="18"/>
                <w:szCs w:val="18"/>
                <w:color w:val="auto"/>
              </w:rPr>
              <w:t>Global intangible low-taxed income, foreign derived intangible income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1"/>
        </w:trPr>
        <w:tc>
          <w:tcPr>
            <w:tcW w:w="672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(661.5)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3"/>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435"/>
        <w:spacing w:after="0" w:line="253" w:lineRule="auto"/>
        <w:rPr>
          <w:sz w:val="20"/>
          <w:szCs w:val="20"/>
          <w:color w:val="auto"/>
        </w:rPr>
      </w:pPr>
      <w:r>
        <w:rPr>
          <w:rFonts w:ascii="Arial" w:cs="Arial" w:eastAsia="Arial" w:hAnsi="Arial"/>
          <w:sz w:val="18"/>
          <w:szCs w:val="18"/>
          <w:color w:val="auto"/>
        </w:rPr>
        <w:t>Autodesk’s fiscal 2021 tax benefit is primarily driven by the U.S. valuation allowance release, excess tax benefits from share-based compensation and a permanent tax benefit from foreign derived intangible income in the U.S., offset by tax expense in foreign locations, including withholding taxes on payments made to the United States or to Singapore from foreign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January 31,</w:t>
            </w:r>
          </w:p>
        </w:tc>
        <w:tc>
          <w:tcPr>
            <w:tcW w:w="980" w:type="dxa"/>
            <w:vAlign w:val="bottom"/>
            <w:tcBorders>
              <w:bottom w:val="single" w:sz="8" w:color="auto"/>
            </w:tcBorders>
          </w:tcPr>
          <w:p>
            <w:pPr>
              <w:spacing w:after="0"/>
              <w:rPr>
                <w:sz w:val="16"/>
                <w:szCs w:val="16"/>
                <w:color w:val="auto"/>
              </w:rPr>
            </w:pPr>
          </w:p>
        </w:tc>
      </w:tr>
      <w:tr>
        <w:trPr>
          <w:trHeight w:val="191"/>
        </w:trPr>
        <w:tc>
          <w:tcPr>
            <w:tcW w:w="8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263.4</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Lease liability</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106.4</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loss carryforwards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1,124.5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1,036.0</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(883.4)</w:t>
            </w: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deferred tax assets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 lived intangibles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 (liabilities)</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firstLine="435"/>
        <w:spacing w:after="0" w:line="325" w:lineRule="auto"/>
        <w:rPr>
          <w:sz w:val="20"/>
          <w:szCs w:val="20"/>
          <w:color w:val="auto"/>
        </w:rPr>
      </w:pPr>
      <w:r>
        <w:rPr>
          <w:rFonts w:ascii="Arial" w:cs="Arial" w:eastAsia="Arial" w:hAnsi="Arial"/>
          <w:sz w:val="16"/>
          <w:szCs w:val="16"/>
          <w:color w:val="auto"/>
        </w:rPr>
        <w:t>Autodesk regularly assesses the need for a valuation allowance against its deferred tax assets. In making that assessment, Autodesk evaluates whether it is more likely than not that some or all of the deferred tax assets will not be realized based on all available positive and negative evidence.</w:t>
      </w:r>
    </w:p>
    <w:p>
      <w:pPr>
        <w:spacing w:after="0" w:line="161" w:lineRule="exact"/>
        <w:rPr>
          <w:sz w:val="20"/>
          <w:szCs w:val="20"/>
          <w:color w:val="auto"/>
        </w:rPr>
      </w:pPr>
    </w:p>
    <w:p>
      <w:pPr>
        <w:ind w:right="20" w:firstLine="435"/>
        <w:spacing w:after="0" w:line="283" w:lineRule="auto"/>
        <w:rPr>
          <w:sz w:val="20"/>
          <w:szCs w:val="20"/>
          <w:color w:val="auto"/>
        </w:rPr>
      </w:pPr>
      <w:r>
        <w:rPr>
          <w:rFonts w:ascii="Arial" w:cs="Arial" w:eastAsia="Arial" w:hAnsi="Arial"/>
          <w:sz w:val="16"/>
          <w:szCs w:val="16"/>
          <w:color w:val="auto"/>
        </w:rPr>
        <w:t>In evaluating the need for a valuation allowance, prior to fiscal 2021 Autodesk considered global cumulative losses arising from the Company’s business model transition as a significant piece of negative evidence. During fiscal 2021 Autodesk has recognized cumulative earnings on a global basis and is profitable in the U.S.. Autodesk forecasts cumulative earnings in U.S. jurisdiction in fiscal 2022. In the fourth quarter of fiscal 2021, Autodesk released the valuation allowance against the Company’s U.S. deferred tax assets, due to positive evidence indicating that these deferred tax assets are more likely than not to be realized. The Company has retained a valuation allowance against California deferred tax assets and deferred tax assets that will convert into a capital loss upon reversal as we do not have sufficient income of the appropriate character to benefit these deferred tax assets. The Company continues to retain a valuation allowance of $65 million against foreign deferred tax assets in the Netherlands and Canada as of January 31, 2021.</w:t>
      </w:r>
    </w:p>
    <w:p>
      <w:pPr>
        <w:spacing w:after="0" w:line="196" w:lineRule="exact"/>
        <w:rPr>
          <w:sz w:val="20"/>
          <w:szCs w:val="20"/>
          <w:color w:val="auto"/>
        </w:rPr>
      </w:pPr>
    </w:p>
    <w:p>
      <w:pPr>
        <w:ind w:right="160" w:firstLine="435"/>
        <w:spacing w:after="0" w:line="253" w:lineRule="auto"/>
        <w:rPr>
          <w:sz w:val="20"/>
          <w:szCs w:val="20"/>
          <w:color w:val="auto"/>
        </w:rPr>
      </w:pPr>
      <w:r>
        <w:rPr>
          <w:rFonts w:ascii="Arial" w:cs="Arial" w:eastAsia="Arial" w:hAnsi="Arial"/>
          <w:sz w:val="18"/>
          <w:szCs w:val="18"/>
          <w:color w:val="auto"/>
        </w:rPr>
        <w:t>The valuation allowance decreased by $696.9 million in fiscal 2021 primarily due to the U.S. valuation allowance release of $679.0 million. The valuation allowance increased by $85.6 million and $163.6 million in fiscal 2020 and fiscal 2019, respectively, primarily related to the generation of deferred tax attributes, net of the fiscal 2020 valuation allowance release of $42.0 million in Singapore.</w:t>
      </w:r>
    </w:p>
    <w:p>
      <w:pPr>
        <w:spacing w:after="0" w:line="190" w:lineRule="exact"/>
        <w:rPr>
          <w:sz w:val="20"/>
          <w:szCs w:val="20"/>
          <w:color w:val="auto"/>
        </w:rPr>
      </w:pPr>
    </w:p>
    <w:p>
      <w:pPr>
        <w:ind w:right="40" w:firstLine="173"/>
        <w:spacing w:after="0" w:line="311" w:lineRule="auto"/>
        <w:rPr>
          <w:sz w:val="20"/>
          <w:szCs w:val="20"/>
          <w:color w:val="auto"/>
        </w:rPr>
      </w:pPr>
      <w:r>
        <w:rPr>
          <w:rFonts w:ascii="Arial" w:cs="Arial" w:eastAsia="Arial" w:hAnsi="Arial"/>
          <w:sz w:val="15"/>
          <w:szCs w:val="15"/>
          <w:color w:val="auto"/>
        </w:rPr>
        <w:t>The U.S. Tax Cuts and Jobs Act (“TCJA”) provided broad and significant changes to the U.S. corporate income tax regime and reduced the statutory federal corporate rate from 35% to 21% for fiscal 2018 and forward. TCJA subjects the deemed intangible income of our foreign subsidiaries to current U.S. taxation (commonly referred to as “GILTI”), provides for a full dividends received deduction upon repatriation of untaxed earnings of our foreign subsidiaries, imposes a minimum taxation (without most tax credits) on modified taxable income, which is generally taxable income without deductions for payments to related foreign companies (commonly referred to as “BEAT”), modifies the accelerated depreciation deduction rules, and revises the deductibility of certain expenses.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elected to recognize any potential GILTI obligations as an expense in the period it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firstLine="435"/>
        <w:spacing w:after="0" w:line="253" w:lineRule="auto"/>
        <w:rPr>
          <w:sz w:val="20"/>
          <w:szCs w:val="20"/>
          <w:color w:val="auto"/>
        </w:rPr>
      </w:pPr>
      <w:r>
        <w:rPr>
          <w:rFonts w:ascii="Arial" w:cs="Arial" w:eastAsia="Arial" w:hAnsi="Arial"/>
          <w:sz w:val="18"/>
          <w:szCs w:val="18"/>
          <w:color w:val="auto"/>
        </w:rPr>
        <w:t>We anticipate that the U.S. Department of Treasury and other standard-setting bodies will continue to interpret or issue guidance on how provisions of the TCJA will be applied or otherwise administered. As future guidance is issued, we may make adjustments to amounts that we have previously recorded that may materially impact our financial statements in the period in which the adjustments are made.</w:t>
      </w:r>
    </w:p>
    <w:p>
      <w:pPr>
        <w:spacing w:after="0" w:line="216" w:lineRule="exact"/>
        <w:rPr>
          <w:sz w:val="20"/>
          <w:szCs w:val="20"/>
          <w:color w:val="auto"/>
        </w:rPr>
      </w:pPr>
    </w:p>
    <w:p>
      <w:pPr>
        <w:ind w:firstLine="176"/>
        <w:spacing w:after="0" w:line="292" w:lineRule="auto"/>
        <w:rPr>
          <w:sz w:val="20"/>
          <w:szCs w:val="20"/>
          <w:color w:val="auto"/>
        </w:rPr>
      </w:pPr>
      <w:r>
        <w:rPr>
          <w:rFonts w:ascii="Arial" w:cs="Arial" w:eastAsia="Arial" w:hAnsi="Arial"/>
          <w:sz w:val="16"/>
          <w:szCs w:val="16"/>
          <w:color w:val="auto"/>
        </w:rPr>
        <w:t>As of January 31, 2021, Autodesk had $8.8 million of cumulative U.S. federal tax loss carryforwards and $560.4 million of cumulative U.S. state tax loss carryforwards, which may be available to reduce future income tax liabilities in federal and state jurisdictions. The pre-fiscal 2019 U.S. federal tax loss carryforward will expire beginning fiscal 2035 through fiscal 2039. U.S. federal losses generated beginning in fiscal 2019 do not expire and are carried forward indefinitely. The U.S. state tax loss carryforward will expire beginning fiscal 2025 through fiscal 2041.</w:t>
      </w:r>
    </w:p>
    <w:p>
      <w:pPr>
        <w:spacing w:after="0" w:line="186" w:lineRule="exact"/>
        <w:rPr>
          <w:sz w:val="20"/>
          <w:szCs w:val="20"/>
          <w:color w:val="auto"/>
        </w:rPr>
      </w:pPr>
    </w:p>
    <w:p>
      <w:pPr>
        <w:ind w:firstLine="435"/>
        <w:spacing w:after="0" w:line="235" w:lineRule="auto"/>
        <w:rPr>
          <w:sz w:val="20"/>
          <w:szCs w:val="20"/>
          <w:color w:val="auto"/>
        </w:rPr>
      </w:pPr>
      <w:r>
        <w:rPr>
          <w:rFonts w:ascii="Arial" w:cs="Arial" w:eastAsia="Arial" w:hAnsi="Arial"/>
          <w:sz w:val="18"/>
          <w:szCs w:val="18"/>
          <w:color w:val="auto"/>
        </w:rPr>
        <w:t>In addition to U.S. federal and state tax loss carryforwards, the Netherlands, Norway, Singapore, and other foreign jurisdictions incurred federal tax losses totaling $222.0 million, which may be available to reduce future income tax liabilities. Our Norway and Singaporean losses, of $22.5 million and $156.4 million, respectively, have an indefinite expiration period. The Netherlands losses of $40.0 million will expire beginning in fiscal 2025 through fiscal 2027, and have a full valuation allowance against them on our balance sheet as the Company has determined it is more likely than not that these losses will not be utilized.</w:t>
      </w:r>
    </w:p>
    <w:p>
      <w:pPr>
        <w:spacing w:after="0" w:line="213" w:lineRule="exact"/>
        <w:rPr>
          <w:sz w:val="20"/>
          <w:szCs w:val="20"/>
          <w:color w:val="auto"/>
        </w:rPr>
      </w:pPr>
    </w:p>
    <w:p>
      <w:pPr>
        <w:ind w:right="60" w:firstLine="435"/>
        <w:spacing w:after="0" w:line="265" w:lineRule="auto"/>
        <w:rPr>
          <w:sz w:val="20"/>
          <w:szCs w:val="20"/>
          <w:color w:val="auto"/>
        </w:rPr>
      </w:pPr>
      <w:r>
        <w:rPr>
          <w:rFonts w:ascii="Arial" w:cs="Arial" w:eastAsia="Arial" w:hAnsi="Arial"/>
          <w:sz w:val="16"/>
          <w:szCs w:val="16"/>
          <w:color w:val="auto"/>
        </w:rPr>
        <w:t>As of January 31, 2021, Autodesk had $166.8 million of cumulative U.S. federal research tax credit carryforwards, $97.3 million of cumulative California state research tax credit carryforwards, and $56.8 million and $1.6 million of cumulative Canadian federal research and Ontario minimum tax credit carryforwards, respectively, which may be available to reduce future income tax liabilities in the respective jurisdictions. The federal research tax credit carryforwards will expire beginning fiscal 2026 through fiscal 2041, the state research tax credit carryforwards may reduce future California income tax liabilities indefinitely, and the Canadian research tax credit carryforwards will expire beginning fiscal 2028 through fiscal 2041. Autodesk also has $112.2 million of cumulative U.S. federal foreign tax credit carryforwards, which may be available to reduce future U.S. tax liabilities. These foreign tax credits will expire beginning fiscal 2025 through fiscal 2030. As discussed above, the California and Canada cumulative assets have full valuation allowance against them on our balance sheet as the Company has determined it is more likely than not that these losses and credits will not be utilized.</w:t>
      </w:r>
    </w:p>
    <w:p>
      <w:pPr>
        <w:spacing w:after="0" w:line="195" w:lineRule="exact"/>
        <w:rPr>
          <w:sz w:val="20"/>
          <w:szCs w:val="20"/>
          <w:color w:val="auto"/>
        </w:rPr>
      </w:pPr>
    </w:p>
    <w:p>
      <w:pPr>
        <w:ind w:right="340" w:firstLine="435"/>
        <w:spacing w:after="0" w:line="300"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result in permanent losses of the U.S. federal and state tax attributes.</w:t>
      </w:r>
    </w:p>
    <w:p>
      <w:pPr>
        <w:spacing w:after="0" w:line="181" w:lineRule="exact"/>
        <w:rPr>
          <w:sz w:val="20"/>
          <w:szCs w:val="20"/>
          <w:color w:val="auto"/>
        </w:rPr>
      </w:pPr>
    </w:p>
    <w:p>
      <w:pPr>
        <w:ind w:right="360" w:firstLine="435"/>
        <w:spacing w:after="0" w:line="253" w:lineRule="auto"/>
        <w:rPr>
          <w:sz w:val="20"/>
          <w:szCs w:val="20"/>
          <w:color w:val="auto"/>
        </w:rPr>
      </w:pPr>
      <w:r>
        <w:rPr>
          <w:rFonts w:ascii="Arial" w:cs="Arial" w:eastAsia="Arial" w:hAnsi="Arial"/>
          <w:sz w:val="18"/>
          <w:szCs w:val="18"/>
          <w:color w:val="auto"/>
        </w:rPr>
        <w:t>As of January 31, 2021, the Company had $198.0 million of gross unrecognized tax benefits, of which $31.7 million would reduce our valuation allowance, if recognized. The remaining $166.3 million would impact the effective tax rate. It is possible that the amount of unrecognized tax benefits will decrease in the next 12 months for an audit settlement of approximately $8.2 million.</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0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08"/>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08"/>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r>
    </w:tbl>
    <w:p>
      <w:pPr>
        <w:spacing w:after="0" w:line="278" w:lineRule="exact"/>
        <w:rPr>
          <w:sz w:val="20"/>
          <w:szCs w:val="20"/>
          <w:color w:val="auto"/>
        </w:rPr>
      </w:pPr>
    </w:p>
    <w:p>
      <w:pPr>
        <w:ind w:right="20" w:firstLine="633"/>
        <w:spacing w:after="0" w:line="292" w:lineRule="auto"/>
        <w:rPr>
          <w:sz w:val="20"/>
          <w:szCs w:val="20"/>
          <w:color w:val="auto"/>
        </w:rPr>
      </w:pPr>
      <w:r>
        <w:rPr>
          <w:rFonts w:ascii="Arial" w:cs="Arial" w:eastAsia="Arial" w:hAnsi="Arial"/>
          <w:sz w:val="16"/>
          <w:szCs w:val="16"/>
          <w:color w:val="auto"/>
        </w:rPr>
        <w:t>It is the Company’s continuing practice to recognize interest and/or penalties related to income tax matters in income tax expense. Autodesk had $4.5 million, $2.3 million, and $3.1 million, net of tax benefit, accrued for interest and penalties related to unrecognized tax benefits as of January 31, 2021, 2020, and 2019, respectively. There was $2.2 million, $(0.8) million, and $0.3 million of net expense for interest and penalties related to tax matters recorded through the consolidated statements of operations for the years ended January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firstLine="166"/>
        <w:spacing w:after="0" w:line="300" w:lineRule="auto"/>
        <w:rPr>
          <w:sz w:val="20"/>
          <w:szCs w:val="20"/>
          <w:color w:val="auto"/>
        </w:rPr>
      </w:pPr>
      <w:r>
        <w:rPr>
          <w:rFonts w:ascii="Arial" w:cs="Arial" w:eastAsia="Arial" w:hAnsi="Arial"/>
          <w:sz w:val="16"/>
          <w:szCs w:val="16"/>
          <w:color w:val="auto"/>
        </w:rPr>
        <w:t>Autodesk’s U.S. and state income tax returns for fiscal 2002 through fiscal 2021 remain open to examination due to either net operating loss or credit carryforward. The Internal Revenue Service has examined the Company’s U.S. consolidated federal income tax returns for fiscal 2014 and 2015. This audit was finalized on January 31, 2019, and impacts from the finalization of the audit were recorded in the fiscal 2019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2005 to 2021.</w:t>
      </w:r>
    </w:p>
    <w:p>
      <w:pPr>
        <w:spacing w:after="0" w:line="241" w:lineRule="exact"/>
        <w:rPr>
          <w:sz w:val="20"/>
          <w:szCs w:val="20"/>
          <w:color w:val="auto"/>
        </w:rPr>
      </w:pPr>
    </w:p>
    <w:p>
      <w:pPr>
        <w:ind w:right="100" w:firstLine="396"/>
        <w:spacing w:after="0" w:line="300" w:lineRule="auto"/>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European and Asia Pacific countries was subject to reduced tax rates through fiscal 2019. Historically, the Company incurred $0.0 million net benefit ($0.00 basic net income per share) in fiscal 2021 and fiscal 2020 from the tax status of these business arrangements, and $11.4 million ($0.05 basic net income per share) in fiscal 2019.</w:t>
      </w:r>
    </w:p>
    <w:p>
      <w:pPr>
        <w:spacing w:after="0" w:line="175" w:lineRule="exact"/>
        <w:rPr>
          <w:sz w:val="20"/>
          <w:szCs w:val="20"/>
          <w:color w:val="auto"/>
        </w:rPr>
      </w:pPr>
    </w:p>
    <w:p>
      <w:pPr>
        <w:ind w:left="340" w:hanging="334"/>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2021 Acquisitions</w:t>
      </w:r>
    </w:p>
    <w:p>
      <w:pPr>
        <w:spacing w:after="0" w:line="241" w:lineRule="exact"/>
        <w:rPr>
          <w:sz w:val="20"/>
          <w:szCs w:val="20"/>
          <w:color w:val="auto"/>
        </w:rPr>
      </w:pPr>
    </w:p>
    <w:p>
      <w:pPr>
        <w:ind w:right="180" w:firstLine="435"/>
        <w:spacing w:after="0" w:line="253" w:lineRule="auto"/>
        <w:rPr>
          <w:sz w:val="20"/>
          <w:szCs w:val="20"/>
          <w:color w:val="auto"/>
        </w:rPr>
      </w:pPr>
      <w:r>
        <w:rPr>
          <w:rFonts w:ascii="Arial" w:cs="Arial" w:eastAsia="Arial" w:hAnsi="Arial"/>
          <w:sz w:val="18"/>
          <w:szCs w:val="18"/>
          <w:color w:val="auto"/>
        </w:rPr>
        <w:t>The results of operations for the following acquisitions are included in the accompanying Consolidated Statements of Operations since their respective acquisition dates. Pro forma results of operations have not been presented because the effects of these acquisitions were not material to Autodesk’s Consolidated Financial Statements.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0696D7"/>
        </w:rPr>
        <w:t>Spacemaker AS</w:t>
      </w:r>
    </w:p>
    <w:p>
      <w:pPr>
        <w:spacing w:after="0" w:line="241" w:lineRule="exact"/>
        <w:rPr>
          <w:sz w:val="20"/>
          <w:szCs w:val="20"/>
          <w:color w:val="auto"/>
        </w:rPr>
      </w:pPr>
    </w:p>
    <w:p>
      <w:pPr>
        <w:jc w:val="both"/>
        <w:ind w:right="320" w:firstLine="396"/>
        <w:spacing w:after="0" w:line="253" w:lineRule="auto"/>
        <w:rPr>
          <w:sz w:val="20"/>
          <w:szCs w:val="20"/>
          <w:color w:val="auto"/>
        </w:rPr>
      </w:pPr>
      <w:r>
        <w:rPr>
          <w:rFonts w:ascii="Arial" w:cs="Arial" w:eastAsia="Arial" w:hAnsi="Arial"/>
          <w:sz w:val="18"/>
          <w:szCs w:val="18"/>
          <w:color w:val="auto"/>
        </w:rPr>
        <w:t>On November 23, 2020, Autodesk acquired Spacemaker AS (“Spacemaker”). Spacemaker is a leading provider of cloud-based artificial intelligence technology and generative design enabling architects, urban designers, and real estate developers to optimize and maximize the potential of a building site, especially during early-stage design.</w:t>
      </w:r>
    </w:p>
    <w:p>
      <w:pPr>
        <w:spacing w:after="0" w:line="216" w:lineRule="exact"/>
        <w:rPr>
          <w:sz w:val="20"/>
          <w:szCs w:val="20"/>
          <w:color w:val="auto"/>
        </w:rPr>
      </w:pPr>
    </w:p>
    <w:p>
      <w:pPr>
        <w:ind w:firstLine="396"/>
        <w:spacing w:after="0" w:line="266" w:lineRule="auto"/>
        <w:rPr>
          <w:sz w:val="20"/>
          <w:szCs w:val="20"/>
          <w:color w:val="auto"/>
        </w:rPr>
      </w:pPr>
      <w:r>
        <w:rPr>
          <w:rFonts w:ascii="Arial" w:cs="Arial" w:eastAsia="Arial" w:hAnsi="Arial"/>
          <w:sz w:val="16"/>
          <w:szCs w:val="16"/>
          <w:color w:val="auto"/>
        </w:rPr>
        <w:t>The acquisition-date fair value of the consideration transferred totaled $252.0 million, which consisted of $214.1 million of cash and 147,264 shares of Autodesk’s common stock at an aggregate fair value of $37.9 million. Of the total consideration transferred, $231.1 million is considered purchase consideration. Of the remaining amount, $18.9 million was recorded in “Prepaid expenses and other current assets” and “Long-term other assets” on our Consolidated Balance Sheets and will be amortized to stock-based compensation expense, and $2.0 million was recorded as stock-based compensation expense during the fiscal quarter ended January 31, 2021. The 147,264 shares of common stock are held in escrow until the third anniversary of the acquisition closing date, and 73,632 of those shares are subject to forfeiture by the employee if employment terminates during the three-year employment period. See Note 4, “Equity Compensation ,” for further discussion.</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0696D7"/>
        </w:rPr>
        <w:t>Other Acquisitions</w:t>
      </w:r>
    </w:p>
    <w:p>
      <w:pPr>
        <w:spacing w:after="0" w:line="228" w:lineRule="exact"/>
        <w:rPr>
          <w:sz w:val="20"/>
          <w:szCs w:val="20"/>
          <w:color w:val="auto"/>
        </w:rPr>
      </w:pPr>
    </w:p>
    <w:p>
      <w:pPr>
        <w:ind w:right="320" w:firstLine="396"/>
        <w:spacing w:after="0" w:line="262" w:lineRule="auto"/>
        <w:rPr>
          <w:sz w:val="20"/>
          <w:szCs w:val="20"/>
          <w:color w:val="auto"/>
        </w:rPr>
      </w:pPr>
      <w:r>
        <w:rPr>
          <w:rFonts w:ascii="Arial" w:cs="Arial" w:eastAsia="Arial" w:hAnsi="Arial"/>
          <w:sz w:val="18"/>
          <w:szCs w:val="18"/>
          <w:color w:val="auto"/>
        </w:rPr>
        <w:t>During the fiscal year ended January 31, 2021, Autodesk also completed two other business combinations. The acquisition-date fair value of the cash consideration transferred totaled $45.4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Purchase Price Allocation</w:t>
      </w:r>
    </w:p>
    <w:p>
      <w:pPr>
        <w:spacing w:after="0" w:line="241" w:lineRule="exact"/>
        <w:rPr>
          <w:sz w:val="20"/>
          <w:szCs w:val="20"/>
          <w:color w:val="auto"/>
        </w:rPr>
      </w:pPr>
    </w:p>
    <w:p>
      <w:pPr>
        <w:ind w:right="100" w:firstLine="396"/>
        <w:spacing w:after="0" w:line="249" w:lineRule="auto"/>
        <w:rPr>
          <w:sz w:val="20"/>
          <w:szCs w:val="20"/>
          <w:color w:val="auto"/>
        </w:rPr>
      </w:pPr>
      <w:r>
        <w:rPr>
          <w:rFonts w:ascii="Arial" w:cs="Arial" w:eastAsia="Arial" w:hAnsi="Arial"/>
          <w:sz w:val="18"/>
          <w:szCs w:val="18"/>
          <w:color w:val="auto"/>
        </w:rPr>
        <w:t>The acquisitions during fiscal 2021 were accounted for as business combinations,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Goodwill of $193.0 million is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500" w:firstLine="396"/>
        <w:spacing w:after="0" w:line="262"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that were completed during the fiscal year ended January 31,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Spacemaker</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1220" w:type="dxa"/>
            <w:vAlign w:val="bottom"/>
            <w:shd w:val="clear" w:color="auto" w:fill="CCEEFF"/>
          </w:tcPr>
          <w:p>
            <w:pPr>
              <w:jc w:val="right"/>
              <w:ind w:right="106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08"/>
        </w:trPr>
        <w:tc>
          <w:tcPr>
            <w:tcW w:w="60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8"/>
        </w:trPr>
        <w:tc>
          <w:tcPr>
            <w:tcW w:w="60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189.4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220.8</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 and non-current)</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8"/>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(liabilities)</w:t>
            </w:r>
          </w:p>
        </w:tc>
        <w:tc>
          <w:tcPr>
            <w:tcW w:w="1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3"/>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4"/>
              </w:rPr>
              <w:t>231.1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160" w:firstLine="396"/>
        <w:spacing w:after="0" w:line="250" w:lineRule="auto"/>
        <w:rPr>
          <w:sz w:val="20"/>
          <w:szCs w:val="20"/>
          <w:color w:val="auto"/>
        </w:rPr>
      </w:pPr>
      <w:r>
        <w:rPr>
          <w:rFonts w:ascii="Arial" w:cs="Arial" w:eastAsia="Arial" w:hAnsi="Arial"/>
          <w:sz w:val="18"/>
          <w:szCs w:val="18"/>
          <w:color w:val="auto"/>
        </w:rPr>
        <w:t>For the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for certain tax aspects of the transaction and residual 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2020 Acquisitions</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fiscal year ended January 31, 2020, Autodesk did not complete any business combinations.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2019 Acquisitions</w:t>
      </w:r>
    </w:p>
    <w:p>
      <w:pPr>
        <w:spacing w:after="0" w:line="241" w:lineRule="exact"/>
        <w:rPr>
          <w:sz w:val="20"/>
          <w:szCs w:val="20"/>
          <w:color w:val="auto"/>
        </w:rPr>
      </w:pPr>
    </w:p>
    <w:p>
      <w:pPr>
        <w:ind w:right="100" w:firstLine="396"/>
        <w:spacing w:after="0" w:line="283" w:lineRule="auto"/>
        <w:rPr>
          <w:sz w:val="20"/>
          <w:szCs w:val="20"/>
          <w:color w:val="auto"/>
        </w:rPr>
      </w:pPr>
      <w:r>
        <w:rPr>
          <w:rFonts w:ascii="Arial" w:cs="Arial" w:eastAsia="Arial" w:hAnsi="Arial"/>
          <w:sz w:val="16"/>
          <w:szCs w:val="16"/>
          <w:color w:val="auto"/>
        </w:rPr>
        <w:t>During the fiscal year ended January 31, 2019, Autodesk completed three business combinations consisting of BuildingConnected, Inc., PlanGrid, Inc. and Assemble Systems, Inc. (“Assemble Systems”) for total aggregated purchase consideration of $1.12 billion. The total purchase consideration consisted of $1.06 billion of cash, $44.8 million of Autodesk common stock, $10.3 million attributable to the fair value of equity awards related to pre-combination services, and ascribed value of $10.6 million of Autodesk’s existing equity interest in Assemble Systems. In allocating the aggregate purchase consideration based on estimated fair values, the Company recorded $261.4 million of intangible assets and $868.0 million of goodwill. There is no amount of goodwill that is deductible for U.S. income tax purposes. The results of operations for these acquisitions were included in the accompanying Consolidated Statement of Operations from the dates of the respective acquisitions.</w:t>
      </w:r>
    </w:p>
    <w:p>
      <w:pPr>
        <w:spacing w:after="0" w:line="190" w:lineRule="exact"/>
        <w:rPr>
          <w:sz w:val="20"/>
          <w:szCs w:val="20"/>
          <w:color w:val="auto"/>
        </w:rPr>
      </w:pPr>
    </w:p>
    <w:p>
      <w:pPr>
        <w:ind w:left="360" w:hanging="354"/>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47" w:lineRule="exact"/>
        <w:rPr>
          <w:sz w:val="20"/>
          <w:szCs w:val="20"/>
          <w:color w:val="auto"/>
        </w:rPr>
      </w:pPr>
    </w:p>
    <w:p>
      <w:pPr>
        <w:ind w:right="140" w:firstLine="435"/>
        <w:spacing w:after="0" w:line="285" w:lineRule="auto"/>
        <w:rPr>
          <w:sz w:val="20"/>
          <w:szCs w:val="20"/>
          <w:color w:val="auto"/>
        </w:rPr>
      </w:pPr>
      <w:r>
        <w:rPr>
          <w:rFonts w:ascii="Arial" w:cs="Arial" w:eastAsia="Arial" w:hAnsi="Arial"/>
          <w:sz w:val="16"/>
          <w:szCs w:val="16"/>
          <w:color w:val="auto"/>
        </w:rPr>
        <w:t>At January 31, 2021, Autodesk had marketable securities totaling $85.0 million, of which $81.0 million related to investments in debt and equity securities that are held in a rabbi trust under non-qualified deferred compensation plans. Of the $81.0 million related to the deferred compensation liability at January 31, 2021, $7.3 million was classified as current and $73.7 million was classified as non-current liabilities. Of the $69.0 million related to the deferred compensation liability at January 31, 2020, $5.3 million was classified as current and $63.7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“Long-Term Other liabilities,”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obtain a contract with a customer</w:t>
      </w:r>
    </w:p>
    <w:p>
      <w:pPr>
        <w:spacing w:after="0" w:line="241"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$120.9 million and $98.8 million as of January 31, 2021, and January 31, 2020, respectively. These assets are recorded in “Prepaid expenses and other current assets” and “Long-term other assets” in the Consolidated Balance Sheet. Amortization expense related to assets recognized from costs to obtain a contract with a customer was $96.6 million, $101.6 million, and $108.8 million during fiscal years ended January 31, 2021, 2020, and 2019, respectively. Autodesk did not recognize any contract cost impairment losses during the fiscal years ended January 31,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360" w:hanging="354"/>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47" w:lineRule="exact"/>
        <w:rPr>
          <w:sz w:val="20"/>
          <w:szCs w:val="20"/>
          <w:color w:val="auto"/>
        </w:rPr>
      </w:pPr>
    </w:p>
    <w:p>
      <w:pPr>
        <w:ind w:right="140" w:firstLine="396"/>
        <w:spacing w:after="0" w:line="292" w:lineRule="auto"/>
        <w:rPr>
          <w:sz w:val="20"/>
          <w:szCs w:val="20"/>
          <w:color w:val="auto"/>
        </w:rPr>
      </w:pPr>
      <w:r>
        <w:rPr>
          <w:rFonts w:ascii="Arial" w:cs="Arial" w:eastAsia="Arial" w:hAnsi="Arial"/>
          <w:sz w:val="16"/>
          <w:szCs w:val="16"/>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The proceeds of the 2020 Notes were used for the repayment of $450.0 million 2015 Notes, as defined below, and the remainder is available for general corporate purposes.</w:t>
      </w:r>
    </w:p>
    <w:p>
      <w:pPr>
        <w:spacing w:after="0" w:line="186"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3.00:1.0, and (2) a maximum leverage ratio of 3.00:1.0. At January 31, 2021,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January 31, 2021, Autodesk had no outstanding borrowings under the credit agreement.</w:t>
      </w:r>
    </w:p>
    <w:p>
      <w:pPr>
        <w:spacing w:after="0" w:line="198" w:lineRule="exact"/>
        <w:rPr>
          <w:sz w:val="20"/>
          <w:szCs w:val="20"/>
          <w:color w:val="auto"/>
        </w:rPr>
      </w:pPr>
    </w:p>
    <w:p>
      <w:pPr>
        <w:ind w:right="40" w:firstLine="396"/>
        <w:spacing w:after="0" w:line="316" w:lineRule="auto"/>
        <w:rPr>
          <w:sz w:val="20"/>
          <w:szCs w:val="20"/>
          <w:color w:val="auto"/>
        </w:rPr>
      </w:pPr>
      <w:r>
        <w:rPr>
          <w:rFonts w:ascii="Arial" w:cs="Arial" w:eastAsia="Arial" w:hAnsi="Arial"/>
          <w:sz w:val="15"/>
          <w:szCs w:val="15"/>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73" w:lineRule="exact"/>
        <w:rPr>
          <w:sz w:val="20"/>
          <w:szCs w:val="20"/>
          <w:color w:val="auto"/>
        </w:rPr>
      </w:pPr>
    </w:p>
    <w:p>
      <w:pPr>
        <w:ind w:right="40" w:firstLine="396"/>
        <w:spacing w:after="0" w:line="283"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(“$450 million 2015 Notes”) and $300.0 million aggregate principal amount of 4.375% notes due June 15, 2025 (“$300 million 2015 Notes”) (collectively, the “2015 Notes”). Net of a discount of $0.6 million and $1.1 million, and issuance costs of $3.8 million and $2.5 million, Autodesk received net proceeds of $445.6 million and $296.4 million from issuance of the $450 million 2015 Notes and $300 million 2015 Notes, respectively. Both the discount and issuance costs are being amortized to interest expense over the respective terms of the 2015 Notes using the effective interest method. The proceeds of the $300 million 2015 Notes are available for general corporate purposes. On March 4, 2020, the proceeds of the 2020 Notes were used for the repayment of the $450 million 2015 Notes. Autodesk paid a redemption price of $452.1 million, plus accrued and unpaid interest to, but not including, the date of redemption.</w:t>
      </w:r>
    </w:p>
    <w:p>
      <w:pPr>
        <w:spacing w:after="0" w:line="196"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219" w:lineRule="exact"/>
        <w:rPr>
          <w:sz w:val="20"/>
          <w:szCs w:val="20"/>
          <w:color w:val="auto"/>
        </w:rPr>
      </w:pPr>
    </w:p>
    <w:p>
      <w:pPr>
        <w:ind w:right="60" w:firstLine="435"/>
        <w:spacing w:after="0" w:line="287" w:lineRule="auto"/>
        <w:rPr>
          <w:sz w:val="20"/>
          <w:szCs w:val="20"/>
          <w:color w:val="auto"/>
        </w:rPr>
      </w:pPr>
      <w:r>
        <w:rPr>
          <w:rFonts w:ascii="Arial" w:cs="Arial" w:eastAsia="Arial" w:hAnsi="Arial"/>
          <w:sz w:val="16"/>
          <w:szCs w:val="16"/>
          <w:color w:val="auto"/>
        </w:rPr>
        <w:t>The 2020 Notes, 2017 Notes, $300 million 2015 Notes and the 2012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quoted market prices, the approximate fair value of the notes as of January 31, 2021, were as follows:</w:t>
      </w:r>
    </w:p>
    <w:p>
      <w:pPr>
        <w:spacing w:after="0" w:line="1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20" w:type="dxa"/>
            <w:vAlign w:val="bottom"/>
          </w:tcPr>
          <w:p>
            <w:pPr>
              <w:jc w:val="right"/>
              <w:ind w:right="384"/>
              <w:spacing w:after="0"/>
              <w:rPr>
                <w:sz w:val="20"/>
                <w:szCs w:val="20"/>
                <w:color w:val="auto"/>
              </w:rPr>
            </w:pPr>
            <w:r>
              <w:rPr>
                <w:rFonts w:ascii="Arial" w:cs="Arial" w:eastAsia="Arial" w:hAnsi="Arial"/>
                <w:sz w:val="14"/>
                <w:szCs w:val="14"/>
                <w:b w:val="1"/>
                <w:bCs w:val="1"/>
                <w:color w:val="auto"/>
                <w:w w:val="93"/>
              </w:rPr>
              <w:t>Aggregate Principal</w:t>
            </w:r>
          </w:p>
        </w:tc>
        <w:tc>
          <w:tcPr>
            <w:tcW w:w="560" w:type="dxa"/>
            <w:vAlign w:val="bottom"/>
          </w:tcPr>
          <w:p>
            <w:pPr>
              <w:spacing w:after="0"/>
              <w:rPr>
                <w:sz w:val="14"/>
                <w:szCs w:val="14"/>
                <w:color w:val="auto"/>
              </w:rPr>
            </w:pPr>
          </w:p>
        </w:tc>
        <w:tc>
          <w:tcPr>
            <w:tcW w:w="10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720" w:type="dxa"/>
            <w:vAlign w:val="bottom"/>
          </w:tcPr>
          <w:p>
            <w:pPr>
              <w:jc w:val="right"/>
              <w:ind w:right="944"/>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350.0</w:t>
            </w: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8"/>
        </w:trPr>
        <w:tc>
          <w:tcPr>
            <w:tcW w:w="780" w:type="dxa"/>
            <w:vAlign w:val="bottom"/>
          </w:tcPr>
          <w:p>
            <w:pPr>
              <w:jc w:val="right"/>
              <w:spacing w:after="0"/>
              <w:rPr>
                <w:sz w:val="20"/>
                <w:szCs w:val="20"/>
                <w:color w:val="auto"/>
              </w:rPr>
            </w:pPr>
            <w:r>
              <w:rPr>
                <w:rFonts w:ascii="Arial" w:cs="Arial" w:eastAsia="Arial" w:hAnsi="Arial"/>
                <w:sz w:val="16"/>
                <w:szCs w:val="16"/>
                <w:color w:val="auto"/>
              </w:rPr>
              <w:t>$300</w:t>
            </w:r>
          </w:p>
        </w:tc>
        <w:tc>
          <w:tcPr>
            <w:tcW w:w="3680" w:type="dxa"/>
            <w:vAlign w:val="bottom"/>
          </w:tcPr>
          <w:p>
            <w:pPr>
              <w:ind w:left="20"/>
              <w:spacing w:after="0"/>
              <w:rPr>
                <w:sz w:val="20"/>
                <w:szCs w:val="20"/>
                <w:color w:val="auto"/>
              </w:rPr>
            </w:pPr>
            <w:r>
              <w:rPr>
                <w:rFonts w:ascii="Arial" w:cs="Arial" w:eastAsia="Arial" w:hAnsi="Arial"/>
                <w:sz w:val="16"/>
                <w:szCs w:val="16"/>
                <w:color w:val="auto"/>
              </w:rPr>
              <w:t>2015 Notes</w:t>
            </w:r>
          </w:p>
        </w:tc>
        <w:tc>
          <w:tcPr>
            <w:tcW w:w="3080" w:type="dxa"/>
            <w:vAlign w:val="bottom"/>
          </w:tcPr>
          <w:p>
            <w:pPr>
              <w:spacing w:after="0"/>
              <w:rPr>
                <w:sz w:val="18"/>
                <w:szCs w:val="18"/>
                <w:color w:val="auto"/>
              </w:rPr>
            </w:pPr>
          </w:p>
        </w:tc>
        <w:tc>
          <w:tcPr>
            <w:tcW w:w="1720" w:type="dxa"/>
            <w:vAlign w:val="bottom"/>
          </w:tcPr>
          <w:p>
            <w:pPr>
              <w:jc w:val="right"/>
              <w:ind w:right="224"/>
              <w:spacing w:after="0"/>
              <w:rPr>
                <w:sz w:val="20"/>
                <w:szCs w:val="20"/>
                <w:color w:val="auto"/>
              </w:rPr>
            </w:pPr>
            <w:r>
              <w:rPr>
                <w:rFonts w:ascii="Arial" w:cs="Arial" w:eastAsia="Arial" w:hAnsi="Arial"/>
                <w:sz w:val="16"/>
                <w:szCs w:val="16"/>
                <w:color w:val="auto"/>
              </w:rPr>
              <w:t>300.0</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4"/>
        </w:trPr>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500.0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4"/>
        </w:trPr>
        <w:tc>
          <w:tcPr>
            <w:tcW w:w="780" w:type="dxa"/>
            <w:vAlign w:val="bottom"/>
          </w:tcPr>
          <w:p>
            <w:pPr>
              <w:jc w:val="right"/>
              <w:spacing w:after="0"/>
              <w:rPr>
                <w:sz w:val="20"/>
                <w:szCs w:val="20"/>
                <w:color w:val="auto"/>
              </w:rPr>
            </w:pPr>
            <w:r>
              <w:rPr>
                <w:rFonts w:ascii="Arial" w:cs="Arial" w:eastAsia="Arial" w:hAnsi="Arial"/>
                <w:sz w:val="16"/>
                <w:szCs w:val="16"/>
                <w:color w:val="auto"/>
              </w:rPr>
              <w:t>2020</w:t>
            </w:r>
          </w:p>
        </w:tc>
        <w:tc>
          <w:tcPr>
            <w:tcW w:w="3680" w:type="dxa"/>
            <w:vAlign w:val="bottom"/>
          </w:tcPr>
          <w:p>
            <w:pPr>
              <w:ind w:left="20"/>
              <w:spacing w:after="0"/>
              <w:rPr>
                <w:sz w:val="20"/>
                <w:szCs w:val="20"/>
                <w:color w:val="auto"/>
              </w:rPr>
            </w:pPr>
            <w:r>
              <w:rPr>
                <w:rFonts w:ascii="Arial" w:cs="Arial" w:eastAsia="Arial" w:hAnsi="Arial"/>
                <w:sz w:val="16"/>
                <w:szCs w:val="16"/>
                <w:color w:val="auto"/>
              </w:rPr>
              <w:t>Notes</w:t>
            </w:r>
          </w:p>
        </w:tc>
        <w:tc>
          <w:tcPr>
            <w:tcW w:w="308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6"/>
                <w:szCs w:val="16"/>
                <w:color w:val="auto"/>
              </w:rPr>
              <w:t>500.0</w:t>
            </w: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expected future principal payments for all borrowings as of January 31, 2021, are as follows: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204"/>
        </w:trPr>
        <w:tc>
          <w:tcPr>
            <w:tcW w:w="8820" w:type="dxa"/>
            <w:vAlign w:val="bottom"/>
          </w:tcPr>
          <w:p>
            <w:pPr>
              <w:ind w:left="420"/>
              <w:spacing w:after="0"/>
              <w:rPr>
                <w:sz w:val="20"/>
                <w:szCs w:val="20"/>
                <w:color w:val="auto"/>
              </w:rPr>
            </w:pPr>
            <w:r>
              <w:rPr>
                <w:rFonts w:ascii="Arial" w:cs="Arial" w:eastAsia="Arial" w:hAnsi="Arial"/>
                <w:sz w:val="16"/>
                <w:szCs w:val="16"/>
                <w:color w:val="auto"/>
              </w:rPr>
              <w:t>Fiscal year ending</w:t>
            </w: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4"/>
        </w:trPr>
        <w:tc>
          <w:tcPr>
            <w:tcW w:w="8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2022</w:t>
            </w:r>
          </w:p>
        </w:tc>
        <w:tc>
          <w:tcPr>
            <w:tcW w:w="108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820" w:type="dxa"/>
            <w:vAlign w:val="bottom"/>
          </w:tcPr>
          <w:p>
            <w:pPr>
              <w:ind w:left="420"/>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214"/>
        </w:trPr>
        <w:tc>
          <w:tcPr>
            <w:tcW w:w="8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2024</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820" w:type="dxa"/>
            <w:vAlign w:val="bottom"/>
          </w:tcPr>
          <w:p>
            <w:pPr>
              <w:ind w:left="420"/>
              <w:spacing w:after="0"/>
              <w:rPr>
                <w:sz w:val="20"/>
                <w:szCs w:val="20"/>
                <w:color w:val="auto"/>
              </w:rPr>
            </w:pPr>
            <w:r>
              <w:rPr>
                <w:rFonts w:ascii="Arial" w:cs="Arial" w:eastAsia="Arial" w:hAnsi="Arial"/>
                <w:sz w:val="16"/>
                <w:szCs w:val="16"/>
                <w:color w:val="auto"/>
              </w:rPr>
              <w:t>2025</w:t>
            </w:r>
          </w:p>
        </w:tc>
        <w:tc>
          <w:tcPr>
            <w:tcW w:w="10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2026</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08"/>
        </w:trPr>
        <w:tc>
          <w:tcPr>
            <w:tcW w:w="88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Thereafter</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33"/>
        </w:trPr>
        <w:tc>
          <w:tcPr>
            <w:tcW w:w="8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principal outstanding</w:t>
            </w:r>
          </w:p>
        </w:tc>
        <w:tc>
          <w:tcPr>
            <w:tcW w:w="108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47" w:lineRule="exact"/>
        <w:rPr>
          <w:sz w:val="20"/>
          <w:szCs w:val="20"/>
          <w:color w:val="auto"/>
        </w:rPr>
      </w:pPr>
    </w:p>
    <w:p>
      <w:pPr>
        <w:ind w:right="200" w:firstLine="396"/>
        <w:spacing w:after="0" w:line="276"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69 years, some of which include options to extend the lease with renewal terms from 1 year to 10 years and some of which include options to terminate the leases from less than 1 year to 9 years. Options to extend the lease are included in the lease liability if they are reasonably certain of being exercised. Options to terminate are considered in determining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w:t>
      </w:r>
    </w:p>
    <w:p>
      <w:pPr>
        <w:spacing w:after="0" w:line="7" w:lineRule="exact"/>
        <w:rPr>
          <w:sz w:val="20"/>
          <w:szCs w:val="20"/>
          <w:color w:val="auto"/>
        </w:rPr>
      </w:pPr>
    </w:p>
    <w:p>
      <w:pPr>
        <w:ind w:right="240" w:firstLine="396"/>
        <w:spacing w:after="0" w:line="310" w:lineRule="auto"/>
        <w:rPr>
          <w:sz w:val="20"/>
          <w:szCs w:val="20"/>
          <w:color w:val="auto"/>
        </w:rPr>
      </w:pPr>
      <w:r>
        <w:rPr>
          <w:rFonts w:ascii="Arial" w:cs="Arial" w:eastAsia="Arial" w:hAnsi="Arial"/>
          <w:sz w:val="16"/>
          <w:szCs w:val="16"/>
          <w:color w:val="auto"/>
        </w:rPr>
        <w:t>During the fiscal year ended January 31, 2021, Autodesk recorded an operating lease right-of-use asset impairment of $6.9 million included in “General and administrative” on the Company’s Consolidated Statements of Operations. The impairment loss was due to vacating an office facility.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lease cost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Fiscal Year Ended January 31,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6"/>
              <w:spacing w:after="0" w:line="131" w:lineRule="exact"/>
              <w:rPr>
                <w:sz w:val="20"/>
                <w:szCs w:val="20"/>
                <w:color w:val="auto"/>
              </w:rPr>
            </w:pPr>
            <w:r>
              <w:rPr>
                <w:rFonts w:ascii="Arial" w:cs="Arial" w:eastAsia="Arial" w:hAnsi="Arial"/>
                <w:sz w:val="14"/>
                <w:szCs w:val="14"/>
                <w:b w:val="1"/>
                <w:bCs w:val="1"/>
                <w:color w:val="auto"/>
                <w:w w:val="88"/>
              </w:rPr>
              <w:t>Cost of subscription</w:t>
            </w:r>
          </w:p>
        </w:tc>
        <w:tc>
          <w:tcPr>
            <w:tcW w:w="180" w:type="dxa"/>
            <w:vAlign w:val="bottom"/>
          </w:tcPr>
          <w:p>
            <w:pPr>
              <w:spacing w:after="0"/>
              <w:rPr>
                <w:sz w:val="11"/>
                <w:szCs w:val="11"/>
                <w:color w:val="auto"/>
              </w:rPr>
            </w:pPr>
          </w:p>
        </w:tc>
        <w:tc>
          <w:tcPr>
            <w:tcW w:w="10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6"/>
              </w:rPr>
              <w:t>Cost of other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Marketing and</w:t>
            </w:r>
          </w:p>
        </w:tc>
        <w:tc>
          <w:tcPr>
            <w:tcW w:w="160" w:type="dxa"/>
            <w:vAlign w:val="bottom"/>
          </w:tcPr>
          <w:p>
            <w:pPr>
              <w:spacing w:after="0"/>
              <w:rPr>
                <w:sz w:val="11"/>
                <w:szCs w:val="11"/>
                <w:color w:val="auto"/>
              </w:rPr>
            </w:pPr>
          </w:p>
        </w:tc>
        <w:tc>
          <w:tcPr>
            <w:tcW w:w="100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w w:val="91"/>
              </w:rPr>
              <w:t>Research and</w:t>
            </w:r>
          </w:p>
        </w:tc>
        <w:tc>
          <w:tcPr>
            <w:tcW w:w="180" w:type="dxa"/>
            <w:vAlign w:val="bottom"/>
          </w:tcPr>
          <w:p>
            <w:pPr>
              <w:spacing w:after="0"/>
              <w:rPr>
                <w:sz w:val="11"/>
                <w:szCs w:val="11"/>
                <w:color w:val="auto"/>
              </w:rPr>
            </w:pPr>
          </w:p>
        </w:tc>
        <w:tc>
          <w:tcPr>
            <w:tcW w:w="11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and maintenance</w:t>
            </w: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 w:type="dxa"/>
            <w:vAlign w:val="bottom"/>
            <w:tcBorders>
              <w:bottom w:val="single" w:sz="8" w:color="CCEEFF"/>
            </w:tcBorders>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sales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4"/>
              </w:rPr>
              <w:t>development</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6"/>
              </w:rPr>
              <w:t>administrative</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Fiscal Year Ended January 31, 2020</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3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8"/>
              </w:rPr>
              <w:t>Cost of subscription</w:t>
            </w:r>
          </w:p>
        </w:tc>
        <w:tc>
          <w:tcPr>
            <w:tcW w:w="180" w:type="dxa"/>
            <w:vAlign w:val="bottom"/>
          </w:tcPr>
          <w:p>
            <w:pPr>
              <w:spacing w:after="0"/>
              <w:rPr>
                <w:sz w:val="11"/>
                <w:szCs w:val="11"/>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w w:val="94"/>
              </w:rPr>
              <w:t>Cost of other</w:t>
            </w:r>
          </w:p>
        </w:tc>
        <w:tc>
          <w:tcPr>
            <w:tcW w:w="106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Marketing and</w:t>
            </w:r>
          </w:p>
        </w:tc>
        <w:tc>
          <w:tcPr>
            <w:tcW w:w="160" w:type="dxa"/>
            <w:vAlign w:val="bottom"/>
          </w:tcPr>
          <w:p>
            <w:pPr>
              <w:spacing w:after="0"/>
              <w:rPr>
                <w:sz w:val="11"/>
                <w:szCs w:val="11"/>
                <w:color w:val="auto"/>
              </w:rPr>
            </w:pPr>
          </w:p>
        </w:tc>
        <w:tc>
          <w:tcPr>
            <w:tcW w:w="100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w w:val="89"/>
              </w:rPr>
              <w:t>Research and</w:t>
            </w:r>
          </w:p>
        </w:tc>
        <w:tc>
          <w:tcPr>
            <w:tcW w:w="180" w:type="dxa"/>
            <w:vAlign w:val="bottom"/>
          </w:tcPr>
          <w:p>
            <w:pPr>
              <w:spacing w:after="0"/>
              <w:rPr>
                <w:sz w:val="11"/>
                <w:szCs w:val="11"/>
                <w:color w:val="auto"/>
              </w:rPr>
            </w:pPr>
          </w:p>
        </w:tc>
        <w:tc>
          <w:tcPr>
            <w:tcW w:w="11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6"/>
              <w:spacing w:after="0" w:line="132" w:lineRule="exact"/>
              <w:rPr>
                <w:sz w:val="20"/>
                <w:szCs w:val="20"/>
                <w:color w:val="auto"/>
              </w:rPr>
            </w:pPr>
            <w:r>
              <w:rPr>
                <w:rFonts w:ascii="Arial" w:cs="Arial" w:eastAsia="Arial" w:hAnsi="Arial"/>
                <w:sz w:val="14"/>
                <w:szCs w:val="14"/>
                <w:b w:val="1"/>
                <w:bCs w:val="1"/>
                <w:color w:val="auto"/>
                <w:w w:val="89"/>
              </w:rPr>
              <w:t>and maintenance</w:t>
            </w: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5"/>
                <w:szCs w:val="15"/>
                <w:color w:val="auto"/>
              </w:rPr>
            </w:pPr>
          </w:p>
        </w:tc>
        <w:tc>
          <w:tcPr>
            <w:tcW w:w="1060" w:type="dxa"/>
            <w:vAlign w:val="bottom"/>
          </w:tcPr>
          <w:p>
            <w:pPr>
              <w:jc w:val="right"/>
              <w:ind w:right="306"/>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5"/>
                <w:szCs w:val="15"/>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5"/>
                <w:szCs w:val="15"/>
                <w:color w:val="auto"/>
              </w:rPr>
            </w:pPr>
          </w:p>
        </w:tc>
        <w:tc>
          <w:tcPr>
            <w:tcW w:w="1000" w:type="dxa"/>
            <w:vAlign w:val="bottom"/>
          </w:tcPr>
          <w:p>
            <w:pPr>
              <w:jc w:val="right"/>
              <w:ind w:right="125"/>
              <w:spacing w:after="0"/>
              <w:rPr>
                <w:sz w:val="20"/>
                <w:szCs w:val="20"/>
                <w:color w:val="auto"/>
              </w:rPr>
            </w:pPr>
            <w:r>
              <w:rPr>
                <w:rFonts w:ascii="Arial" w:cs="Arial" w:eastAsia="Arial" w:hAnsi="Arial"/>
                <w:sz w:val="14"/>
                <w:szCs w:val="14"/>
                <w:b w:val="1"/>
                <w:bCs w:val="1"/>
                <w:color w:val="auto"/>
                <w:w w:val="90"/>
              </w:rPr>
              <w:t>development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Arial" w:cs="Arial" w:eastAsia="Arial" w:hAnsi="Arial"/>
                <w:sz w:val="14"/>
                <w:szCs w:val="14"/>
                <w:b w:val="1"/>
                <w:bCs w:val="1"/>
                <w:color w:val="auto"/>
                <w:w w:val="92"/>
              </w:rPr>
              <w:t>administrative</w:t>
            </w: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Arial" w:cs="Arial" w:eastAsia="Arial" w:hAnsi="Arial"/>
                <w:sz w:val="14"/>
                <w:szCs w:val="14"/>
                <w:b w:val="1"/>
                <w:bCs w:val="1"/>
                <w:color w:val="auto"/>
                <w:w w:val="91"/>
              </w:rPr>
              <w:t>Fiscal Year Ended</w:t>
            </w:r>
          </w:p>
        </w:tc>
      </w:tr>
      <w:tr>
        <w:trPr>
          <w:trHeight w:val="183"/>
        </w:trPr>
        <w:tc>
          <w:tcPr>
            <w:tcW w:w="6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jc w:val="right"/>
              <w:ind w:right="125"/>
              <w:spacing w:after="0"/>
              <w:rPr>
                <w:sz w:val="20"/>
                <w:szCs w:val="20"/>
                <w:color w:val="auto"/>
              </w:rPr>
            </w:pPr>
            <w:r>
              <w:rPr>
                <w:rFonts w:ascii="Arial" w:cs="Arial" w:eastAsia="Arial" w:hAnsi="Arial"/>
                <w:sz w:val="14"/>
                <w:szCs w:val="14"/>
                <w:b w:val="1"/>
                <w:bCs w:val="1"/>
                <w:color w:val="auto"/>
                <w:w w:val="96"/>
              </w:rPr>
              <w:t>January 31, 2021</w:t>
            </w:r>
          </w:p>
        </w:tc>
        <w:tc>
          <w:tcPr>
            <w:tcW w:w="200" w:type="dxa"/>
            <w:vAlign w:val="bottom"/>
          </w:tcPr>
          <w:p>
            <w:pPr>
              <w:spacing w:after="0"/>
              <w:rPr>
                <w:sz w:val="15"/>
                <w:szCs w:val="15"/>
                <w:color w:val="auto"/>
              </w:rPr>
            </w:pPr>
          </w:p>
        </w:tc>
        <w:tc>
          <w:tcPr>
            <w:tcW w:w="1280" w:type="dxa"/>
            <w:vAlign w:val="bottom"/>
          </w:tcPr>
          <w:p>
            <w:pPr>
              <w:jc w:val="right"/>
              <w:ind w:right="105"/>
              <w:spacing w:after="0"/>
              <w:rPr>
                <w:sz w:val="20"/>
                <w:szCs w:val="20"/>
                <w:color w:val="auto"/>
              </w:rPr>
            </w:pPr>
            <w:r>
              <w:rPr>
                <w:rFonts w:ascii="Arial" w:cs="Arial" w:eastAsia="Arial" w:hAnsi="Arial"/>
                <w:sz w:val="14"/>
                <w:szCs w:val="14"/>
                <w:b w:val="1"/>
                <w:bCs w:val="1"/>
                <w:color w:val="auto"/>
                <w:w w:val="96"/>
              </w:rPr>
              <w:t>January 31, 2020</w:t>
            </w:r>
          </w:p>
        </w:tc>
      </w:tr>
      <w:tr>
        <w:trPr>
          <w:trHeight w:val="209"/>
        </w:trPr>
        <w:tc>
          <w:tcPr>
            <w:tcW w:w="6940" w:type="dxa"/>
            <w:vAlign w:val="bottom"/>
          </w:tcPr>
          <w:p>
            <w:pPr>
              <w:ind w:left="2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
              <w:spacing w:after="0"/>
              <w:rPr>
                <w:sz w:val="20"/>
                <w:szCs w:val="20"/>
                <w:color w:val="auto"/>
              </w:rPr>
            </w:pPr>
            <w:r>
              <w:rPr>
                <w:rFonts w:ascii="Arial" w:cs="Arial" w:eastAsia="Arial" w:hAnsi="Arial"/>
                <w:sz w:val="16"/>
                <w:szCs w:val="16"/>
                <w:color w:val="auto"/>
              </w:rPr>
              <w:t>96.3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14"/>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operating lease liabilities arising from obtaining operating right-of-use assets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67.4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r>
      <w:tr>
        <w:trPr>
          <w:trHeight w:val="303"/>
        </w:trPr>
        <w:tc>
          <w:tcPr>
            <w:tcW w:w="6940" w:type="dxa"/>
            <w:vAlign w:val="bottom"/>
          </w:tcPr>
          <w:p>
            <w:pPr>
              <w:jc w:val="right"/>
              <w:ind w:right="5438"/>
              <w:spacing w:after="0"/>
              <w:rPr>
                <w:sz w:val="20"/>
                <w:szCs w:val="20"/>
                <w:color w:val="auto"/>
              </w:rPr>
            </w:pPr>
            <w:r>
              <w:rPr>
                <w:rFonts w:ascii="Arial" w:cs="Arial" w:eastAsia="Arial" w:hAnsi="Arial"/>
                <w:sz w:val="18"/>
                <w:szCs w:val="18"/>
                <w:color w:val="auto"/>
                <w:w w:val="93"/>
              </w:rPr>
              <w:t>_______________</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ind w:right="740" w:firstLine="6"/>
        <w:spacing w:after="0" w:line="251" w:lineRule="auto"/>
        <w:tabs>
          <w:tab w:leader="none" w:pos="2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$12.0 million and $12.2 million in variable lease payments not included in “Operating lease liabilities” and “Long-term operating lease liabilities” on the Consolidated Balance Sheet for fiscal years ended January 31, 2021 and 2020, respectively.</w:t>
      </w:r>
    </w:p>
    <w:p>
      <w:pPr>
        <w:spacing w:after="0" w:line="210"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weighted average remaining lease term for operating leases is 7.3 and 7.5 years at January 31, 2021 and 2020, respectively. The weighted average discount rate was 2.69% and 3.41% at January 31, 2021 and 2020,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Pr>
          <w:p>
            <w:pPr>
              <w:ind w:left="400"/>
              <w:spacing w:after="0"/>
              <w:rPr>
                <w:sz w:val="20"/>
                <w:szCs w:val="20"/>
                <w:color w:val="auto"/>
              </w:rPr>
            </w:pPr>
            <w:r>
              <w:rPr>
                <w:rFonts w:ascii="Arial" w:cs="Arial" w:eastAsia="Arial" w:hAnsi="Arial"/>
                <w:sz w:val="18"/>
                <w:szCs w:val="18"/>
                <w:color w:val="auto"/>
              </w:rPr>
              <w:t>Maturities of operating lease liabilities were as follows:</w:t>
            </w: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27"/>
        </w:trPr>
        <w:tc>
          <w:tcPr>
            <w:tcW w:w="856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208"/>
        </w:trPr>
        <w:tc>
          <w:tcPr>
            <w:tcW w:w="8560" w:type="dxa"/>
            <w:vAlign w:val="bottom"/>
          </w:tcPr>
          <w:p>
            <w:pPr>
              <w:ind w:left="20"/>
              <w:spacing w:after="0"/>
              <w:rPr>
                <w:sz w:val="20"/>
                <w:szCs w:val="20"/>
                <w:color w:val="auto"/>
              </w:rPr>
            </w:pPr>
            <w:r>
              <w:rPr>
                <w:rFonts w:ascii="Arial" w:cs="Arial" w:eastAsia="Arial" w:hAnsi="Arial"/>
                <w:sz w:val="16"/>
                <w:szCs w:val="16"/>
                <w:color w:val="auto"/>
              </w:rPr>
              <w:t>2023</w:t>
            </w:r>
          </w:p>
        </w:tc>
        <w:tc>
          <w:tcPr>
            <w:tcW w:w="1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4"/>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08"/>
        </w:trPr>
        <w:tc>
          <w:tcPr>
            <w:tcW w:w="8560" w:type="dxa"/>
            <w:vAlign w:val="bottom"/>
          </w:tcPr>
          <w:p>
            <w:pPr>
              <w:ind w:left="20"/>
              <w:spacing w:after="0"/>
              <w:rPr>
                <w:sz w:val="20"/>
                <w:szCs w:val="20"/>
                <w:color w:val="auto"/>
              </w:rPr>
            </w:pPr>
            <w:r>
              <w:rPr>
                <w:rFonts w:ascii="Arial" w:cs="Arial" w:eastAsia="Arial" w:hAnsi="Arial"/>
                <w:sz w:val="16"/>
                <w:szCs w:val="16"/>
                <w:color w:val="auto"/>
              </w:rPr>
              <w:t>2025</w:t>
            </w:r>
          </w:p>
        </w:tc>
        <w:tc>
          <w:tcPr>
            <w:tcW w:w="1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4"/>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0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r>
      <w:tr>
        <w:trPr>
          <w:trHeight w:val="208"/>
        </w:trPr>
        <w:tc>
          <w:tcPr>
            <w:tcW w:w="8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r>
      <w:tr>
        <w:trPr>
          <w:trHeight w:val="20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467.4</w:t>
            </w:r>
          </w:p>
        </w:tc>
      </w:tr>
    </w:tbl>
    <w:p>
      <w:pPr>
        <w:spacing w:after="0" w:line="278" w:lineRule="exact"/>
        <w:rPr>
          <w:sz w:val="20"/>
          <w:szCs w:val="20"/>
          <w:color w:val="auto"/>
        </w:rPr>
      </w:pPr>
    </w:p>
    <w:p>
      <w:pPr>
        <w:ind w:right="780" w:firstLine="396"/>
        <w:spacing w:after="0" w:line="262" w:lineRule="auto"/>
        <w:rPr>
          <w:sz w:val="20"/>
          <w:szCs w:val="20"/>
          <w:color w:val="auto"/>
        </w:rPr>
      </w:pPr>
      <w:r>
        <w:rPr>
          <w:rFonts w:ascii="Arial" w:cs="Arial" w:eastAsia="Arial" w:hAnsi="Arial"/>
          <w:sz w:val="18"/>
          <w:szCs w:val="18"/>
          <w:color w:val="auto"/>
        </w:rPr>
        <w:t>As of January 31, 2021, Autodesk has additional operating lease minimum lease payments of $0.4 million for executed leases that have not yet commenced, primarily for office locations.</w:t>
      </w:r>
    </w:p>
    <w:p>
      <w:pPr>
        <w:spacing w:after="0" w:line="208"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Rent expense related to operating leases recognized on a straight-line basis over the lease period under previous accounting guidance, was $60.7 million for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40" w:hanging="434"/>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Purchase Commitments</w:t>
      </w:r>
    </w:p>
    <w:p>
      <w:pPr>
        <w:spacing w:after="0" w:line="241" w:lineRule="exact"/>
        <w:rPr>
          <w:sz w:val="20"/>
          <w:szCs w:val="20"/>
          <w:color w:val="auto"/>
        </w:rPr>
      </w:pPr>
    </w:p>
    <w:p>
      <w:pPr>
        <w:ind w:right="160" w:firstLine="435"/>
        <w:spacing w:after="0" w:line="250"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2021, were approximately $374.8 million for periods through fiscal 2028. These purchase commitments primarily result from contracts entered into for the acquisition of cloud services, IT infrastructure, marketing, and commitments related to our investment agreements with limited liability partnership funds.</w:t>
      </w:r>
    </w:p>
    <w:p>
      <w:pPr>
        <w:spacing w:after="0" w:line="219"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$14.9 million in fiscal 2021, $14.3 million in fiscal 2020, and $6.4 million in fiscal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Guarantees and Indemnifications</w:t>
      </w:r>
    </w:p>
    <w:p>
      <w:pPr>
        <w:spacing w:after="0" w:line="241" w:lineRule="exact"/>
        <w:rPr>
          <w:sz w:val="20"/>
          <w:szCs w:val="20"/>
          <w:color w:val="auto"/>
        </w:rPr>
      </w:pPr>
    </w:p>
    <w:p>
      <w:pPr>
        <w:ind w:right="180" w:firstLine="435"/>
        <w:spacing w:after="0" w:line="249"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9" w:lineRule="exact"/>
        <w:rPr>
          <w:sz w:val="20"/>
          <w:szCs w:val="20"/>
          <w:color w:val="auto"/>
        </w:rPr>
      </w:pPr>
    </w:p>
    <w:p>
      <w:pPr>
        <w:ind w:right="180" w:firstLine="435"/>
        <w:spacing w:after="0" w:line="250"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9" w:lineRule="exact"/>
        <w:rPr>
          <w:sz w:val="20"/>
          <w:szCs w:val="20"/>
          <w:color w:val="auto"/>
        </w:rPr>
      </w:pPr>
    </w:p>
    <w:p>
      <w:pPr>
        <w:ind w:right="60" w:firstLine="435"/>
        <w:spacing w:after="0" w:line="287"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Legal Proceedings</w:t>
      </w:r>
    </w:p>
    <w:p>
      <w:pPr>
        <w:spacing w:after="0" w:line="241"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92" w:lineRule="exact"/>
        <w:rPr>
          <w:sz w:val="20"/>
          <w:szCs w:val="20"/>
          <w:color w:val="auto"/>
        </w:rPr>
      </w:pPr>
    </w:p>
    <w:p>
      <w:pPr>
        <w:ind w:left="440" w:hanging="434"/>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jc w:val="both"/>
        <w:ind w:right="220" w:firstLine="435"/>
        <w:spacing w:after="0" w:line="253"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approximately 2.6 million shares in fiscal 2021 at an average repurchase price of $207.61 per share, 2.7 million shares in fiscal 2020 at an average repurchase price of $168.63 per share, and 2.2 million shares in fiscal 2019 at an average repurchase price of $130.15.</w:t>
      </w:r>
    </w:p>
    <w:p>
      <w:pPr>
        <w:spacing w:after="0" w:line="208"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At January 31, 2021, 12.1 million shares remained available for repurchase under the repurchase program approved by the Board of Directors.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w:t>
      </w:r>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Interest and Other Expense, net</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w:t>
      </w:r>
      <w:r>
        <w:rPr>
          <w:rFonts w:ascii="Arial" w:cs="Arial" w:eastAsia="Arial" w:hAnsi="Arial"/>
          <w:sz w:val="17"/>
          <w:szCs w:val="17"/>
          <w:color w:val="auto"/>
        </w:rPr>
        <w:t>, consists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0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08"/>
        </w:trPr>
        <w:tc>
          <w:tcPr>
            <w:tcW w:w="6740" w:type="dxa"/>
            <w:vAlign w:val="bottom"/>
          </w:tcPr>
          <w:p>
            <w:pPr>
              <w:ind w:left="20"/>
              <w:spacing w:after="0"/>
              <w:rPr>
                <w:sz w:val="20"/>
                <w:szCs w:val="20"/>
                <w:color w:val="auto"/>
              </w:rPr>
            </w:pPr>
            <w:r>
              <w:rPr>
                <w:rFonts w:ascii="Arial" w:cs="Arial" w:eastAsia="Arial" w:hAnsi="Arial"/>
                <w:sz w:val="16"/>
                <w:szCs w:val="16"/>
                <w:color w:val="auto"/>
              </w:rPr>
              <w:t>Gain on foreign currency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gain on strategic investments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2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440" w:hanging="434"/>
        <w:spacing w:after="0"/>
        <w:tabs>
          <w:tab w:leader="none" w:pos="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4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Net Unrealized</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Defined Benefit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Arial" w:cs="Arial" w:eastAsia="Arial" w:hAnsi="Arial"/>
                <w:sz w:val="14"/>
                <w:szCs w:val="14"/>
                <w:b w:val="1"/>
                <w:bCs w:val="1"/>
                <w:color w:val="auto"/>
                <w:w w:val="87"/>
              </w:rPr>
              <w:t>Gains (Losses) on</w:t>
            </w:r>
          </w:p>
        </w:tc>
        <w:tc>
          <w:tcPr>
            <w:tcW w:w="1200" w:type="dxa"/>
            <w:vAlign w:val="bottom"/>
            <w:gridSpan w:val="3"/>
          </w:tcPr>
          <w:p>
            <w:pPr>
              <w:ind w:left="20"/>
              <w:spacing w:after="0" w:line="132" w:lineRule="exact"/>
              <w:rPr>
                <w:sz w:val="20"/>
                <w:szCs w:val="20"/>
                <w:color w:val="auto"/>
              </w:rPr>
            </w:pPr>
            <w:r>
              <w:rPr>
                <w:rFonts w:ascii="Arial" w:cs="Arial" w:eastAsia="Arial" w:hAnsi="Arial"/>
                <w:sz w:val="14"/>
                <w:szCs w:val="14"/>
                <w:b w:val="1"/>
                <w:bCs w:val="1"/>
                <w:color w:val="auto"/>
                <w:w w:val="95"/>
              </w:rPr>
              <w:t>Gains (Losses) on</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2"/>
              </w:rPr>
              <w:t>Derivative</w:t>
            </w:r>
          </w:p>
        </w:tc>
        <w:tc>
          <w:tcPr>
            <w:tcW w:w="1200" w:type="dxa"/>
            <w:vAlign w:val="bottom"/>
            <w:gridSpan w:val="3"/>
          </w:tcPr>
          <w:p>
            <w:pPr>
              <w:ind w:left="20"/>
              <w:spacing w:after="0" w:line="132" w:lineRule="exact"/>
              <w:rPr>
                <w:sz w:val="20"/>
                <w:szCs w:val="20"/>
                <w:color w:val="auto"/>
              </w:rPr>
            </w:pPr>
            <w:r>
              <w:rPr>
                <w:rFonts w:ascii="Arial" w:cs="Arial" w:eastAsia="Arial" w:hAnsi="Arial"/>
                <w:sz w:val="14"/>
                <w:szCs w:val="14"/>
                <w:b w:val="1"/>
                <w:bCs w:val="1"/>
                <w:color w:val="auto"/>
                <w:w w:val="99"/>
              </w:rPr>
              <w:t>Available for Sale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8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Components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losses reclassified from accumulated other comprehensive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1"/>
        </w:trPr>
        <w:tc>
          <w:tcPr>
            <w:tcW w:w="5320" w:type="dxa"/>
            <w:vAlign w:val="bottom"/>
          </w:tcPr>
          <w:p>
            <w:pPr>
              <w:ind w:left="20"/>
              <w:spacing w:after="0"/>
              <w:rPr>
                <w:sz w:val="20"/>
                <w:szCs w:val="20"/>
                <w:color w:val="auto"/>
              </w:rPr>
            </w:pPr>
            <w:r>
              <w:rPr>
                <w:rFonts w:ascii="Arial" w:cs="Arial" w:eastAsia="Arial" w:hAnsi="Arial"/>
                <w:sz w:val="16"/>
                <w:szCs w:val="16"/>
                <w:color w:val="auto"/>
              </w:rPr>
              <w:t>Balances, January 31, 2020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w w:val="95"/>
              </w:rPr>
              <w:t>Pre-tax (gain) loss reclassified from accumulated other comprehensive income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1"/>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460" w:firstLine="396"/>
        <w:spacing w:after="0" w:line="300" w:lineRule="auto"/>
        <w:rPr>
          <w:sz w:val="20"/>
          <w:szCs w:val="20"/>
          <w:color w:val="auto"/>
        </w:rPr>
      </w:pPr>
      <w:r>
        <w:rPr>
          <w:rFonts w:ascii="Arial" w:cs="Arial" w:eastAsia="Arial" w:hAnsi="Arial"/>
          <w:sz w:val="16"/>
          <w:szCs w:val="16"/>
          <w:color w:val="auto"/>
        </w:rPr>
        <w:t>Reclassifications related to gains and losses on available-for-sale debt securities are included in “Interest and other expense, net.” Refer to Note 3,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40" w:hanging="434"/>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47" w:lineRule="exact"/>
        <w:rPr>
          <w:sz w:val="20"/>
          <w:szCs w:val="20"/>
          <w:color w:val="auto"/>
        </w:rPr>
      </w:pPr>
    </w:p>
    <w:p>
      <w:pPr>
        <w:ind w:right="20" w:firstLine="435"/>
        <w:spacing w:after="0" w:line="316" w:lineRule="auto"/>
        <w:rPr>
          <w:sz w:val="20"/>
          <w:szCs w:val="20"/>
          <w:color w:val="auto"/>
        </w:rPr>
      </w:pPr>
      <w:r>
        <w:rPr>
          <w:rFonts w:ascii="Arial" w:cs="Arial" w:eastAsia="Arial" w:hAnsi="Arial"/>
          <w:sz w:val="15"/>
          <w:szCs w:val="15"/>
          <w:color w:val="auto"/>
        </w:rPr>
        <w:t>Basic net income (loss) per share is computed using the weighted average number of shares of common stock outstanding for the period, excluding stock options and restricted stock units. Diluted net income (loss) per share is based upon the weighted average number of shares of common stock outstanding for the period and potentially dilutive common stock, including the effect of stock options and restricted stock units under the treasury stock method. The following table sets forth the computation of the numerators and denominators used in the basic and diluted net income (loss) per share amounts: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1,208.2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Denominator:</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20" w:type="dxa"/>
            <w:vAlign w:val="bottom"/>
          </w:tcPr>
          <w:p>
            <w:pPr>
              <w:ind w:left="340"/>
              <w:spacing w:after="0"/>
              <w:rPr>
                <w:sz w:val="20"/>
                <w:szCs w:val="20"/>
                <w:color w:val="auto"/>
              </w:rPr>
            </w:pPr>
            <w:r>
              <w:rPr>
                <w:rFonts w:ascii="Arial" w:cs="Arial" w:eastAsia="Arial" w:hAnsi="Arial"/>
                <w:sz w:val="16"/>
                <w:szCs w:val="16"/>
                <w:color w:val="auto"/>
              </w:rPr>
              <w:t>Denominator for basic net income (loss) per share—weighted average shares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dilutive securities (1)</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720" w:type="dxa"/>
            <w:vAlign w:val="bottom"/>
          </w:tcPr>
          <w:p>
            <w:pPr>
              <w:ind w:left="340"/>
              <w:spacing w:after="0"/>
              <w:rPr>
                <w:sz w:val="20"/>
                <w:szCs w:val="20"/>
                <w:color w:val="auto"/>
              </w:rPr>
            </w:pPr>
            <w:r>
              <w:rPr>
                <w:rFonts w:ascii="Arial" w:cs="Arial" w:eastAsia="Arial" w:hAnsi="Arial"/>
                <w:sz w:val="16"/>
                <w:szCs w:val="16"/>
                <w:color w:val="auto"/>
              </w:rPr>
              <w:t>Denominator for dilutive net income (loss) per share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2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Basic net income (loss) per share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(loss)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3"/>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right="220" w:hanging="394"/>
        <w:spacing w:after="0" w:line="251" w:lineRule="auto"/>
        <w:tabs>
          <w:tab w:leader="none" w:pos="4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effect of dilutive securities of 3.1 million shares for the fiscal year ended January 31, 2019, have been excluded from the calculation of diluted net loss per share as those shares would have been anti-dilutive due to the net loss incurred during that fiscal year.</w:t>
      </w:r>
    </w:p>
    <w:p>
      <w:pPr>
        <w:spacing w:after="0" w:line="210" w:lineRule="exact"/>
        <w:rPr>
          <w:sz w:val="20"/>
          <w:szCs w:val="20"/>
          <w:color w:val="auto"/>
        </w:rPr>
      </w:pPr>
    </w:p>
    <w:p>
      <w:pPr>
        <w:ind w:right="120" w:firstLine="435"/>
        <w:spacing w:after="0" w:line="287" w:lineRule="auto"/>
        <w:rPr>
          <w:sz w:val="20"/>
          <w:szCs w:val="20"/>
          <w:color w:val="auto"/>
        </w:rPr>
      </w:pPr>
      <w:r>
        <w:rPr>
          <w:rFonts w:ascii="Arial" w:cs="Arial" w:eastAsia="Arial" w:hAnsi="Arial"/>
          <w:sz w:val="16"/>
          <w:szCs w:val="16"/>
          <w:color w:val="auto"/>
        </w:rPr>
        <w:t>The computation of diluted net income (loss) per share does not include shares that are anti-dilutive under the treasury stock method because their exercise prices are higher than the average market value of Autodesk’s stock during the fiscal year. The effect of 0.1 million potentially anti-dilutive shares were excluded from the computation of diluted net income per share for the fiscal year ended January 31, 2021. There were no potentially anti-dilutive shares excluded from the computation of diluted net income per share for the fiscal year ended January 31, 2020. The effect of 0.5 million potentially anti-dilutive shares were excluded from the computation of net loss per share for the fiscal year ended January 31, 2019.</w:t>
      </w:r>
    </w:p>
    <w:p>
      <w:pPr>
        <w:spacing w:after="0" w:line="186" w:lineRule="exact"/>
        <w:rPr>
          <w:sz w:val="20"/>
          <w:szCs w:val="20"/>
          <w:color w:val="auto"/>
        </w:rPr>
      </w:pPr>
    </w:p>
    <w:p>
      <w:pPr>
        <w:ind w:left="440" w:hanging="434"/>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Pretax Savings Plan</w:t>
      </w:r>
    </w:p>
    <w:p>
      <w:pPr>
        <w:spacing w:after="0" w:line="241"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$21.6 million in fiscal 2021, $21.4 million in fiscal 2020, and $17.1 million in fiscal 2019. Autodesk does not allow participants to invest in Autodesk common stock through the 401(k)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41" w:lineRule="exact"/>
        <w:rPr>
          <w:sz w:val="20"/>
          <w:szCs w:val="20"/>
          <w:color w:val="auto"/>
        </w:rPr>
      </w:pPr>
    </w:p>
    <w:p>
      <w:pPr>
        <w:ind w:right="60" w:firstLine="396"/>
        <w:spacing w:after="0" w:line="300" w:lineRule="auto"/>
        <w:rPr>
          <w:sz w:val="20"/>
          <w:szCs w:val="20"/>
          <w:color w:val="auto"/>
        </w:rPr>
      </w:pPr>
      <w:r>
        <w:rPr>
          <w:rFonts w:ascii="Arial" w:cs="Arial" w:eastAsia="Arial" w:hAnsi="Arial"/>
          <w:sz w:val="16"/>
          <w:szCs w:val="16"/>
          <w:color w:val="auto"/>
        </w:rPr>
        <w:t>Autodesk provides certain defined benefit pension plans to employees located in countries outside of the United States,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spacing w:after="0" w:line="181" w:lineRule="exact"/>
        <w:rPr>
          <w:sz w:val="20"/>
          <w:szCs w:val="20"/>
          <w:color w:val="auto"/>
        </w:rPr>
      </w:pPr>
    </w:p>
    <w:p>
      <w:pPr>
        <w:ind w:right="240" w:firstLine="396"/>
        <w:spacing w:after="0" w:line="285" w:lineRule="auto"/>
        <w:rPr>
          <w:sz w:val="20"/>
          <w:szCs w:val="20"/>
          <w:color w:val="auto"/>
        </w:rPr>
      </w:pPr>
      <w:r>
        <w:rPr>
          <w:rFonts w:ascii="Arial" w:cs="Arial" w:eastAsia="Arial" w:hAnsi="Arial"/>
          <w:sz w:val="16"/>
          <w:szCs w:val="16"/>
          <w:color w:val="auto"/>
        </w:rPr>
        <w:t>The projected benefit obligation was $110.0 million and $103.5 million as of January 31, 2021, and January 31, 2020, respectively. The accumulated benefit obligation was $105.2 million and $97.3 million as of January 31, 2021, and January 31, 2020, respectively. The related fair value of plan assets was $107.2 million and $96.2 million as of January 31, 2021, and January 31, 2020,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 party.</w:t>
      </w:r>
    </w:p>
    <w:p>
      <w:pPr>
        <w:spacing w:after="0" w:line="193" w:lineRule="exact"/>
        <w:rPr>
          <w:sz w:val="20"/>
          <w:szCs w:val="20"/>
          <w:color w:val="auto"/>
        </w:rPr>
      </w:pPr>
    </w:p>
    <w:p>
      <w:pPr>
        <w:ind w:right="540" w:firstLine="396"/>
        <w:spacing w:after="0" w:line="262" w:lineRule="auto"/>
        <w:rPr>
          <w:sz w:val="20"/>
          <w:szCs w:val="20"/>
          <w:color w:val="auto"/>
        </w:rPr>
      </w:pPr>
      <w:r>
        <w:rPr>
          <w:rFonts w:ascii="Arial" w:cs="Arial" w:eastAsia="Arial" w:hAnsi="Arial"/>
          <w:sz w:val="18"/>
          <w:szCs w:val="18"/>
          <w:color w:val="auto"/>
        </w:rPr>
        <w:t>Autodesk recognized an aggregate pension liability for the funded status of $12.1 million and $11.6 million in “Long-term other liabilities” on the Consolidated Balance Sheet as of January 31, 2021, and January 31, 2020, respectively. Our total net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periodic pension plan cost (benefit) was $2.8 million, $3.7 million and $(3.1) million for fiscal years 2021, 2020, and 2019,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380" w:type="dxa"/>
            <w:vAlign w:val="bottom"/>
            <w:gridSpan w:val="2"/>
          </w:tcPr>
          <w:p>
            <w:pPr>
              <w:ind w:left="360"/>
              <w:spacing w:after="0"/>
              <w:rPr>
                <w:sz w:val="20"/>
                <w:szCs w:val="20"/>
                <w:color w:val="auto"/>
              </w:rPr>
            </w:pPr>
            <w:r>
              <w:rPr>
                <w:rFonts w:ascii="Arial" w:cs="Arial" w:eastAsia="Arial" w:hAnsi="Arial"/>
                <w:sz w:val="18"/>
                <w:szCs w:val="18"/>
                <w:color w:val="auto"/>
              </w:rPr>
              <w:t>Our expected funding for the plans during fiscal 2022 is approximately $5.5 million.</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0"/>
        </w:trPr>
        <w:tc>
          <w:tcPr>
            <w:tcW w:w="2500" w:type="dxa"/>
            <w:vAlign w:val="bottom"/>
            <w:tcBorders>
              <w:bottom w:val="single" w:sz="8" w:color="32BCAD"/>
            </w:tcBorders>
            <w:gridSpan w:val="2"/>
          </w:tcPr>
          <w:p>
            <w:pPr>
              <w:spacing w:after="0"/>
              <w:rPr>
                <w:sz w:val="20"/>
                <w:szCs w:val="20"/>
                <w:color w:val="auto"/>
              </w:rPr>
            </w:pPr>
            <w:r>
              <w:rPr>
                <w:rFonts w:ascii="Arial" w:cs="Arial" w:eastAsia="Arial" w:hAnsi="Arial"/>
                <w:sz w:val="18"/>
                <w:szCs w:val="18"/>
                <w:i w:val="1"/>
                <w:iCs w:val="1"/>
                <w:color w:val="32BCAD"/>
                <w:w w:val="87"/>
              </w:rPr>
              <w:t>Estimated Future Benefit Payments</w:t>
            </w: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67"/>
        </w:trPr>
        <w:tc>
          <w:tcPr>
            <w:tcW w:w="40" w:type="dxa"/>
            <w:vAlign w:val="bottom"/>
          </w:tcPr>
          <w:p>
            <w:pPr>
              <w:spacing w:after="0"/>
              <w:rPr>
                <w:sz w:val="24"/>
                <w:szCs w:val="24"/>
                <w:color w:val="auto"/>
              </w:rPr>
            </w:pPr>
          </w:p>
        </w:tc>
        <w:tc>
          <w:tcPr>
            <w:tcW w:w="9380" w:type="dxa"/>
            <w:vAlign w:val="bottom"/>
            <w:gridSpan w:val="2"/>
          </w:tcPr>
          <w:p>
            <w:pPr>
              <w:ind w:left="60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6"/>
        </w:trPr>
        <w:tc>
          <w:tcPr>
            <w:tcW w:w="40" w:type="dxa"/>
            <w:vAlign w:val="bottom"/>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6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8"/>
              </w:rPr>
              <w:t>Pension Benefits</w:t>
            </w:r>
          </w:p>
        </w:tc>
      </w:tr>
      <w:tr>
        <w:trPr>
          <w:trHeight w:val="218"/>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4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2025</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4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2027-2031</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40" w:type="dxa"/>
            <w:vAlign w:val="bottom"/>
          </w:tcPr>
          <w:p>
            <w:pPr>
              <w:spacing w:after="0"/>
              <w:rPr>
                <w:sz w:val="20"/>
                <w:szCs w:val="20"/>
                <w:color w:val="auto"/>
              </w:rPr>
            </w:pPr>
          </w:p>
        </w:tc>
        <w:tc>
          <w:tcPr>
            <w:tcW w:w="9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4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Contribution Plans</w:t>
      </w:r>
    </w:p>
    <w:p>
      <w:pPr>
        <w:spacing w:after="0" w:line="241" w:lineRule="exact"/>
        <w:rPr>
          <w:sz w:val="20"/>
          <w:szCs w:val="20"/>
          <w:color w:val="auto"/>
        </w:rPr>
      </w:pPr>
    </w:p>
    <w:p>
      <w:pPr>
        <w:ind w:right="160" w:firstLine="435"/>
        <w:spacing w:after="0" w:line="253"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$31.7 million in fiscal 2021, $28.7 million in fiscal 2020, and $29.6 million in fiscal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Balance Plans</w:t>
      </w:r>
    </w:p>
    <w:p>
      <w:pPr>
        <w:spacing w:after="0" w:line="241" w:lineRule="exact"/>
        <w:rPr>
          <w:sz w:val="20"/>
          <w:szCs w:val="20"/>
          <w:color w:val="auto"/>
        </w:rPr>
      </w:pPr>
    </w:p>
    <w:p>
      <w:pPr>
        <w:ind w:right="420" w:firstLine="435"/>
        <w:spacing w:after="0" w:line="300" w:lineRule="auto"/>
        <w:rPr>
          <w:sz w:val="20"/>
          <w:szCs w:val="20"/>
          <w:color w:val="auto"/>
        </w:rPr>
      </w:pPr>
      <w:r>
        <w:rPr>
          <w:rFonts w:ascii="Arial" w:cs="Arial" w:eastAsia="Arial" w:hAnsi="Arial"/>
          <w:sz w:val="16"/>
          <w:szCs w:val="16"/>
          <w:color w:val="auto"/>
        </w:rPr>
        <w:t>Autodesk provides a cash balance plan that insures the risks of disability, death, and longevity, in which the vested pension capital is reinvested and provides a 100% capital and interest guarantee. The weighted-average guaranteed interest crediting rate for cash balance plans was 1%, 1%, and 1% for mandatory retirement savings and 0.1%, 0.1%, and 0.3% for supplementary retirement savings for fiscal 2021, 2020,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Plans</w:t>
      </w:r>
    </w:p>
    <w:p>
      <w:pPr>
        <w:spacing w:after="0" w:line="241"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40" w:hanging="434"/>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years 2021 and 2020 is as follows: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Fiscal year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3,790.4</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3,453.3</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661.5</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1,208.2</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Basic net income per share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 net income per share (1)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b w:val="1"/>
                <w:bCs w:val="1"/>
                <w:color w:val="auto"/>
                <w:w w:val="89"/>
              </w:rPr>
              <w:t>Income from operations includes the following items: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Amortization of acquisition related intangibles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Acquisition related costs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303"/>
        </w:trPr>
        <w:tc>
          <w:tcPr>
            <w:tcW w:w="36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24"/>
                <w:szCs w:val="2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Fiscal year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3,274.3</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2,949.4</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Basic net (loss) income per share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r>
      <w:tr>
        <w:trPr>
          <w:trHeight w:val="158"/>
        </w:trPr>
        <w:tc>
          <w:tcPr>
            <w:tcW w:w="368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w w:val="89"/>
              </w:rPr>
              <w:t>(Loss) Income from operations includes the following</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b w:val="1"/>
                <w:bCs w:val="1"/>
                <w:color w:val="auto"/>
              </w:rPr>
              <w:t>items: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Amortization of acquisition related intangibles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Acquisition related costs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04"/>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Restructuring and other exit costs, net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right="20" w:firstLine="6"/>
        <w:spacing w:after="0" w:line="251" w:lineRule="auto"/>
        <w:tabs>
          <w:tab w:leader="none" w:pos="2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Net income (loss) per share were computed independently for each of the periods presented; therefore the sum of the net income (loss) per share amount for the quarters may not equal the total for the fiscal year.</w:t>
      </w:r>
    </w:p>
    <w:p>
      <w:pPr>
        <w:spacing w:after="0" w:line="204" w:lineRule="exact"/>
        <w:rPr>
          <w:sz w:val="20"/>
          <w:szCs w:val="20"/>
          <w:color w:val="auto"/>
        </w:rPr>
      </w:pPr>
    </w:p>
    <w:p>
      <w:pPr>
        <w:ind w:left="440" w:hanging="434"/>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40" w:firstLine="176"/>
        <w:spacing w:after="0" w:line="268" w:lineRule="auto"/>
        <w:rPr>
          <w:sz w:val="20"/>
          <w:szCs w:val="20"/>
          <w:color w:val="auto"/>
        </w:rPr>
      </w:pPr>
      <w:r>
        <w:rPr>
          <w:rFonts w:ascii="Arial" w:cs="Arial" w:eastAsia="Arial" w:hAnsi="Arial"/>
          <w:sz w:val="16"/>
          <w:szCs w:val="16"/>
          <w:color w:val="auto"/>
        </w:rPr>
        <w:t>On February 23, 2021, Autodesk entered into an agreement to acquire Storm UK Holdco Limited, the parent of Innovyze, Inc. (“Innovyze”), a global leader in water infrastructure software, for approximately $1.0 billion, net of cash acquired and subject to working capital and tax closing adjustments. Innovyze provides water infrastructure software, is expected to provide comprehensive water modeling solutions that augments Autodesk’s BIM offerings in civil engineering, and is expected to extend Autodesk’s presence into operations and maintenance of water infrastructure assets. The transaction, which is structured as a cash offer for all the outstanding shares of Storm UK Holdco Limited, is subject to customary closing conditions, including regulatory approvals, and is expected to close in Autodesk’s first quarter of fiscal 2021. Autodesk expects to use readily available cash to fund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We have audited the accompanying consolidated balance sheets of Autodesk, Inc. (the Company) as of January 31, 2021, and 2020, the related consolidated statements of operations, comprehensive income (loss), stockholders’ (deficit) equity, and cash flows for each of the three years in the period ended January 31, 2021,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31, 2021, and 2020, and the results of its operations and its cash flows for each of the three years in the period ended January 31, 2021, in conformity with U.S. generally accepted accounting principles.</w:t>
      </w:r>
    </w:p>
    <w:p>
      <w:pPr>
        <w:spacing w:after="0" w:line="100" w:lineRule="exact"/>
        <w:rPr>
          <w:sz w:val="20"/>
          <w:szCs w:val="20"/>
          <w:color w:val="auto"/>
        </w:rPr>
      </w:pPr>
    </w:p>
    <w:p>
      <w:pPr>
        <w:ind w:right="180" w:firstLine="396"/>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2021, based on criteria established in Internal Control-Integrated Framework issued by the Committee of Sponsoring Organizations of the Treadway Commission (2013 framework) and our report dated March 19, 2021 expressed an unqualified opinion thereon.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5" w:lineRule="exact"/>
        <w:rPr>
          <w:sz w:val="20"/>
          <w:szCs w:val="20"/>
          <w:color w:val="auto"/>
        </w:rPr>
      </w:pPr>
    </w:p>
    <w:p>
      <w:pPr>
        <w:ind w:firstLine="396"/>
        <w:spacing w:after="0" w:line="30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180" w:firstLine="396"/>
        <w:spacing w:after="0" w:line="28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5" w:lineRule="exact"/>
        <w:rPr>
          <w:sz w:val="20"/>
          <w:szCs w:val="20"/>
          <w:color w:val="auto"/>
        </w:rPr>
      </w:pPr>
    </w:p>
    <w:p>
      <w:pPr>
        <w:ind w:right="60" w:firstLine="396"/>
        <w:spacing w:after="0" w:line="249"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6"/>
          <w:szCs w:val="16"/>
          <w:i w:val="1"/>
          <w:iCs w:val="1"/>
          <w:color w:val="auto"/>
        </w:rPr>
        <w:t>Description</w:t>
      </w:r>
      <w:r>
        <w:rPr>
          <w:sz w:val="20"/>
          <w:szCs w:val="20"/>
          <w:color w:val="auto"/>
        </w:rPr>
        <w:tab/>
      </w:r>
      <w:r>
        <w:rPr>
          <w:rFonts w:ascii="Arial" w:cs="Arial" w:eastAsia="Arial" w:hAnsi="Arial"/>
          <w:sz w:val="16"/>
          <w:szCs w:val="16"/>
          <w:color w:val="auto"/>
        </w:rPr>
        <w:t>As discussed in Note 1 to the consolidated financial statements, revenue is recognized when the Company's offerings are delivered to</w:t>
      </w:r>
    </w:p>
    <w:p>
      <w:pPr>
        <w:spacing w:after="0" w:line="1" w:lineRule="exact"/>
        <w:rPr>
          <w:sz w:val="20"/>
          <w:szCs w:val="20"/>
          <w:color w:val="auto"/>
        </w:rPr>
      </w:pPr>
    </w:p>
    <w:p>
      <w:pPr>
        <w:ind w:left="1320" w:right="160" w:hanging="1305"/>
        <w:spacing w:after="0" w:line="229" w:lineRule="auto"/>
        <w:tabs>
          <w:tab w:leader="none" w:pos="1300" w:val="left"/>
        </w:tabs>
        <w:rPr>
          <w:sz w:val="20"/>
          <w:szCs w:val="20"/>
          <w:color w:val="auto"/>
        </w:rPr>
      </w:pPr>
      <w:r>
        <w:rPr>
          <w:rFonts w:ascii="Arial" w:cs="Arial" w:eastAsia="Arial" w:hAnsi="Arial"/>
          <w:sz w:val="18"/>
          <w:szCs w:val="18"/>
          <w:i w:val="1"/>
          <w:iCs w:val="1"/>
          <w:color w:val="auto"/>
        </w:rPr>
        <w:t>of the Matter</w:t>
      </w:r>
      <w:r>
        <w:rPr>
          <w:sz w:val="20"/>
          <w:szCs w:val="20"/>
          <w:color w:val="auto"/>
        </w:rPr>
        <w:tab/>
      </w:r>
      <w:r>
        <w:rPr>
          <w:rFonts w:ascii="Arial" w:cs="Arial" w:eastAsia="Arial" w:hAnsi="Arial"/>
          <w:sz w:val="16"/>
          <w:szCs w:val="16"/>
          <w:color w:val="auto"/>
        </w:rPr>
        <w:t>customers, in an amount that reflects the consideration expected in exchange for products and services. Determining whether the Company’s products and services are considered distinct performance obligations that should be accounted for separately or as one combined performance obligation may require significant judgment. For the Company’s product subscriptions and enterprise business agreement ("EBA") subscriptions in which the desktop software and related cloud functionalities are highly interrelated, the combined performance obligation is recognized ratably over the contract term as the subscription is delivered.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94" w:lineRule="exact"/>
        <w:rPr>
          <w:sz w:val="20"/>
          <w:szCs w:val="20"/>
          <w:color w:val="auto"/>
        </w:rPr>
      </w:pPr>
    </w:p>
    <w:p>
      <w:pPr>
        <w:ind w:left="1320" w:right="120" w:firstLine="396"/>
        <w:spacing w:after="0" w:line="218" w:lineRule="auto"/>
        <w:rPr>
          <w:sz w:val="20"/>
          <w:szCs w:val="20"/>
          <w:color w:val="auto"/>
        </w:rPr>
      </w:pPr>
      <w:r>
        <w:rPr>
          <w:rFonts w:ascii="Arial" w:cs="Arial" w:eastAsia="Arial" w:hAnsi="Arial"/>
          <w:sz w:val="18"/>
          <w:szCs w:val="18"/>
          <w:color w:val="auto"/>
        </w:rPr>
        <w:t>Auditing the Company’s revenue recognition accounting policy required a significant level of auditor judgment to assess whether the products and services included in the Company’s product subscriptions and EBA subscriptions should be accounted for as distinct performance obligations or as one combined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right"/>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300" w:type="dxa"/>
            <w:vAlign w:val="bottom"/>
          </w:tcPr>
          <w:p>
            <w:pPr>
              <w:spacing w:after="0"/>
              <w:rPr>
                <w:sz w:val="17"/>
                <w:szCs w:val="17"/>
                <w:color w:val="auto"/>
              </w:rPr>
            </w:pPr>
          </w:p>
        </w:tc>
        <w:tc>
          <w:tcPr>
            <w:tcW w:w="9780" w:type="dxa"/>
            <w:vAlign w:val="bottom"/>
          </w:tcPr>
          <w:p>
            <w:pPr>
              <w:spacing w:after="0"/>
              <w:rPr>
                <w:sz w:val="17"/>
                <w:szCs w:val="17"/>
                <w:color w:val="auto"/>
              </w:rPr>
            </w:pPr>
          </w:p>
        </w:tc>
      </w:tr>
      <w:tr>
        <w:trPr>
          <w:trHeight w:val="799"/>
        </w:trPr>
        <w:tc>
          <w:tcPr>
            <w:tcW w:w="15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How We</w:t>
            </w:r>
          </w:p>
        </w:tc>
        <w:tc>
          <w:tcPr>
            <w:tcW w:w="9780" w:type="dxa"/>
            <w:vAlign w:val="bottom"/>
          </w:tcPr>
          <w:p>
            <w:pPr>
              <w:ind w:left="560"/>
              <w:spacing w:after="0"/>
              <w:rPr>
                <w:sz w:val="20"/>
                <w:szCs w:val="20"/>
                <w:color w:val="auto"/>
              </w:rPr>
            </w:pPr>
            <w:r>
              <w:rPr>
                <w:rFonts w:ascii="Arial" w:cs="Arial" w:eastAsia="Arial" w:hAnsi="Arial"/>
                <w:sz w:val="18"/>
                <w:szCs w:val="18"/>
                <w:color w:val="auto"/>
                <w:w w:val="87"/>
              </w:rPr>
              <w:t>We obtained an understanding, evaluated the design and tested the operating effectiveness of internal controls over the Company's</w:t>
            </w:r>
          </w:p>
        </w:tc>
      </w:tr>
      <w:tr>
        <w:trPr>
          <w:trHeight w:val="171"/>
        </w:trPr>
        <w:tc>
          <w:tcPr>
            <w:tcW w:w="1560" w:type="dxa"/>
            <w:vAlign w:val="bottom"/>
            <w:gridSpan w:val="2"/>
          </w:tcPr>
          <w:p>
            <w:pPr>
              <w:jc w:val="right"/>
              <w:ind w:right="160"/>
              <w:spacing w:after="0" w:line="171" w:lineRule="exact"/>
              <w:rPr>
                <w:sz w:val="20"/>
                <w:szCs w:val="20"/>
                <w:color w:val="auto"/>
              </w:rPr>
            </w:pPr>
            <w:r>
              <w:rPr>
                <w:rFonts w:ascii="Arial" w:cs="Arial" w:eastAsia="Arial" w:hAnsi="Arial"/>
                <w:sz w:val="18"/>
                <w:szCs w:val="18"/>
                <w:i w:val="1"/>
                <w:iCs w:val="1"/>
                <w:color w:val="auto"/>
              </w:rPr>
              <w:t>Addressed the</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9"/>
              </w:rPr>
              <w:t>identification and evaluation of performance obligations. For example, we tested management’s assessment of performance obligations</w:t>
            </w:r>
          </w:p>
        </w:tc>
      </w:tr>
      <w:tr>
        <w:trPr>
          <w:trHeight w:val="171"/>
        </w:trPr>
        <w:tc>
          <w:tcPr>
            <w:tcW w:w="1560" w:type="dxa"/>
            <w:vAlign w:val="bottom"/>
            <w:gridSpan w:val="2"/>
          </w:tcPr>
          <w:p>
            <w:pPr>
              <w:jc w:val="right"/>
              <w:ind w:right="160"/>
              <w:spacing w:after="0" w:line="171" w:lineRule="exact"/>
              <w:rPr>
                <w:sz w:val="20"/>
                <w:szCs w:val="20"/>
                <w:color w:val="auto"/>
              </w:rPr>
            </w:pPr>
            <w:r>
              <w:rPr>
                <w:rFonts w:ascii="Arial" w:cs="Arial" w:eastAsia="Arial" w:hAnsi="Arial"/>
                <w:sz w:val="18"/>
                <w:szCs w:val="18"/>
                <w:i w:val="1"/>
                <w:iCs w:val="1"/>
                <w:color w:val="auto"/>
              </w:rPr>
              <w:t>Matter in Our</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7"/>
              </w:rPr>
              <w:t>included in new product and service offerings. Our audit procedures also included, among others, evaluating the interdependency and lev</w:t>
            </w:r>
          </w:p>
        </w:tc>
      </w:tr>
      <w:tr>
        <w:trPr>
          <w:trHeight w:val="171"/>
        </w:trPr>
        <w:tc>
          <w:tcPr>
            <w:tcW w:w="1560" w:type="dxa"/>
            <w:vAlign w:val="bottom"/>
            <w:gridSpan w:val="2"/>
          </w:tcPr>
          <w:p>
            <w:pPr>
              <w:jc w:val="right"/>
              <w:ind w:right="760"/>
              <w:spacing w:after="0" w:line="171" w:lineRule="exact"/>
              <w:rPr>
                <w:sz w:val="20"/>
                <w:szCs w:val="20"/>
                <w:color w:val="auto"/>
              </w:rPr>
            </w:pPr>
            <w:r>
              <w:rPr>
                <w:rFonts w:ascii="Arial" w:cs="Arial" w:eastAsia="Arial" w:hAnsi="Arial"/>
                <w:sz w:val="18"/>
                <w:szCs w:val="18"/>
                <w:i w:val="1"/>
                <w:iCs w:val="1"/>
                <w:color w:val="auto"/>
              </w:rPr>
              <w:t>Audit</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93"/>
              </w:rPr>
              <w:t>of integration between the software and cloud functionality. We also assessed key assumptions related to the software and cloud</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92"/>
              </w:rPr>
              <w:t>functionality and further reviewed information externally available on the Company’s product offerings. We have also evaluated the</w:t>
            </w:r>
          </w:p>
        </w:tc>
      </w:tr>
      <w:tr>
        <w:trPr>
          <w:trHeight w:val="223"/>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Company’s revenue disclosures in relation to these matters.</w:t>
            </w:r>
          </w:p>
        </w:tc>
      </w:tr>
    </w:tbl>
    <w:p>
      <w:pPr>
        <w:spacing w:after="0" w:line="107"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 w:lineRule="exact"/>
        <w:rPr>
          <w:sz w:val="20"/>
          <w:szCs w:val="20"/>
          <w:color w:val="auto"/>
        </w:rPr>
      </w:pPr>
    </w:p>
    <w:p>
      <w:pPr>
        <w:ind w:left="820"/>
        <w:spacing w:after="0"/>
        <w:tabs>
          <w:tab w:leader="none" w:pos="2100" w:val="left"/>
        </w:tabs>
        <w:rPr>
          <w:sz w:val="20"/>
          <w:szCs w:val="20"/>
          <w:color w:val="auto"/>
        </w:rPr>
      </w:pPr>
      <w:r>
        <w:rPr>
          <w:rFonts w:ascii="Arial" w:cs="Arial" w:eastAsia="Arial" w:hAnsi="Arial"/>
          <w:sz w:val="15"/>
          <w:szCs w:val="15"/>
          <w:i w:val="1"/>
          <w:iCs w:val="1"/>
          <w:color w:val="auto"/>
        </w:rPr>
        <w:t>Description</w:t>
      </w:r>
      <w:r>
        <w:rPr>
          <w:sz w:val="20"/>
          <w:szCs w:val="20"/>
          <w:color w:val="auto"/>
        </w:rPr>
        <w:tab/>
      </w:r>
      <w:r>
        <w:rPr>
          <w:rFonts w:ascii="Arial" w:cs="Arial" w:eastAsia="Arial" w:hAnsi="Arial"/>
          <w:sz w:val="15"/>
          <w:szCs w:val="15"/>
          <w:color w:val="auto"/>
        </w:rPr>
        <w:t>As discussed in Notes 1 and 5 to the consolidated financial statements, the Company makes estimates in determining the accruals f</w:t>
      </w:r>
    </w:p>
    <w:p>
      <w:pPr>
        <w:spacing w:after="0" w:line="13" w:lineRule="exact"/>
        <w:rPr>
          <w:sz w:val="20"/>
          <w:szCs w:val="20"/>
          <w:color w:val="auto"/>
        </w:rPr>
      </w:pPr>
    </w:p>
    <w:p>
      <w:pPr>
        <w:ind w:left="1720" w:right="240" w:hanging="1305"/>
        <w:spacing w:after="0" w:line="220" w:lineRule="auto"/>
        <w:tabs>
          <w:tab w:leader="none" w:pos="1700" w:val="left"/>
        </w:tabs>
        <w:rPr>
          <w:sz w:val="20"/>
          <w:szCs w:val="20"/>
          <w:color w:val="auto"/>
        </w:rPr>
      </w:pPr>
      <w:r>
        <w:rPr>
          <w:rFonts w:ascii="Arial" w:cs="Arial" w:eastAsia="Arial" w:hAnsi="Arial"/>
          <w:sz w:val="18"/>
          <w:szCs w:val="18"/>
          <w:i w:val="1"/>
          <w:iCs w:val="1"/>
          <w:color w:val="auto"/>
        </w:rPr>
        <w:t>of the Matter</w:t>
      </w:r>
      <w:r>
        <w:rPr>
          <w:sz w:val="20"/>
          <w:szCs w:val="20"/>
          <w:color w:val="auto"/>
        </w:rPr>
        <w:tab/>
      </w:r>
      <w:r>
        <w:rPr>
          <w:rFonts w:ascii="Arial" w:cs="Arial" w:eastAsia="Arial" w:hAnsi="Arial"/>
          <w:sz w:val="18"/>
          <w:szCs w:val="18"/>
          <w:color w:val="auto"/>
        </w:rPr>
        <w:t>uncertain tax positions. As of January 31, 2021, the Company had gross unrecognized tax benefits of $198.0 million for uncertain tax positions.</w:t>
      </w:r>
    </w:p>
    <w:p>
      <w:pPr>
        <w:spacing w:after="0" w:line="121" w:lineRule="exact"/>
        <w:rPr>
          <w:sz w:val="20"/>
          <w:szCs w:val="20"/>
          <w:color w:val="auto"/>
        </w:rPr>
      </w:pPr>
    </w:p>
    <w:p>
      <w:pPr>
        <w:jc w:val="both"/>
        <w:ind w:left="1720"/>
        <w:spacing w:after="0" w:line="248" w:lineRule="auto"/>
        <w:rPr>
          <w:sz w:val="20"/>
          <w:szCs w:val="20"/>
          <w:color w:val="auto"/>
        </w:rPr>
      </w:pPr>
      <w:r>
        <w:rPr>
          <w:rFonts w:ascii="Arial" w:cs="Arial" w:eastAsia="Arial" w:hAnsi="Arial"/>
          <w:sz w:val="16"/>
          <w:szCs w:val="16"/>
          <w:color w:val="auto"/>
        </w:rPr>
        <w:t>Auditing management's estimate of the amount of tax benefit related to the Company's uncertain tax positions that qualified for recogniti involved especially challenging auditor judgment because management's estimate required significant judgment in evaluating the technic merits of the positions, including interpretations of applicable tax laws and regulations.</w:t>
      </w:r>
    </w:p>
    <w:p>
      <w:pPr>
        <w:sectPr>
          <w:pgSz w:w="11900" w:h="16838" w:orient="portrait"/>
          <w:cols w:equalWidth="0" w:num="1">
            <w:col w:w="11340"/>
          </w:cols>
          <w:pgMar w:left="320" w:top="104" w:right="239" w:bottom="1440" w:gutter="0" w:footer="0" w:header="0"/>
        </w:sectPr>
      </w:pPr>
    </w:p>
    <w:p>
      <w:pPr>
        <w:spacing w:after="0" w:line="102" w:lineRule="exact"/>
        <w:rPr>
          <w:sz w:val="20"/>
          <w:szCs w:val="20"/>
          <w:color w:val="auto"/>
        </w:rPr>
      </w:pPr>
    </w:p>
    <w:p>
      <w:pPr>
        <w:jc w:val="both"/>
        <w:ind w:left="420" w:firstLine="396"/>
        <w:spacing w:after="0" w:line="261"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firstLine="396"/>
        <w:spacing w:after="0" w:line="213"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Company’s accounting process for uncertain tax positions. For example, we tested controls over management’s identification of uncertain tax positio and its application of the recognition and measurement principles, including management’s review of the inputs and calculations of unrecognized income tax benefits.</w:t>
      </w:r>
    </w:p>
    <w:p>
      <w:pPr>
        <w:spacing w:after="0" w:line="122" w:lineRule="exact"/>
        <w:rPr>
          <w:sz w:val="20"/>
          <w:szCs w:val="20"/>
          <w:color w:val="auto"/>
        </w:rPr>
      </w:pPr>
    </w:p>
    <w:p>
      <w:pPr>
        <w:sectPr>
          <w:pgSz w:w="11900" w:h="16838" w:orient="portrait"/>
          <w:cols w:equalWidth="0" w:num="2">
            <w:col w:w="1400" w:space="320"/>
            <w:col w:w="9620"/>
          </w:cols>
          <w:pgMar w:left="320" w:top="104" w:right="239" w:bottom="1440" w:gutter="0" w:footer="0" w:header="0"/>
          <w:type w:val="continuous"/>
        </w:sectPr>
      </w:pPr>
    </w:p>
    <w:p>
      <w:pPr>
        <w:ind w:left="1720"/>
        <w:spacing w:after="0" w:line="218" w:lineRule="auto"/>
        <w:rPr>
          <w:sz w:val="20"/>
          <w:szCs w:val="20"/>
          <w:color w:val="auto"/>
        </w:rPr>
      </w:pPr>
      <w:r>
        <w:rPr>
          <w:rFonts w:ascii="Arial" w:cs="Arial" w:eastAsia="Arial" w:hAnsi="Arial"/>
          <w:sz w:val="18"/>
          <w:szCs w:val="18"/>
          <w:color w:val="auto"/>
        </w:rPr>
        <w:t>Our audit procedures included, among others, involvement of our tax professionals to assess the technical merits of the Company’s tax positions. These procedures included assessing the Company’s correspondence with the relevant tax authorities and evaluating income ta opinions or other third party advice obtained by the Company.</w:t>
      </w:r>
    </w:p>
    <w:p>
      <w:pPr>
        <w:spacing w:after="0" w:line="122" w:lineRule="exact"/>
        <w:rPr>
          <w:sz w:val="20"/>
          <w:szCs w:val="20"/>
          <w:color w:val="auto"/>
        </w:rPr>
      </w:pPr>
    </w:p>
    <w:p>
      <w:pPr>
        <w:jc w:val="both"/>
        <w:ind w:left="1720" w:right="120"/>
        <w:spacing w:after="0" w:line="237" w:lineRule="auto"/>
        <w:rPr>
          <w:sz w:val="20"/>
          <w:szCs w:val="20"/>
          <w:color w:val="auto"/>
        </w:rPr>
      </w:pPr>
      <w:r>
        <w:rPr>
          <w:rFonts w:ascii="Arial" w:cs="Arial" w:eastAsia="Arial" w:hAnsi="Arial"/>
          <w:sz w:val="16"/>
          <w:szCs w:val="16"/>
          <w:color w:val="auto"/>
        </w:rPr>
        <w:t>We evaluated the appropriateness of the Company’s accounting for its tax positions taking into consideration relevant international and local income tax laws. We analyzed the Company’s assumptions and data used to determine the amount of tax benefit to recognize and tested the accuracy of the calculations. For certain tax positions related to intercompany transactions, we assessed the assumptions and pricing method used in setting arm’s length prices and the documentation to support the pricing. We also evaluated the adequacy of the Company’s financial statement disclosures related to these tax matters.</w:t>
      </w:r>
    </w:p>
    <w:p>
      <w:pPr>
        <w:sectPr>
          <w:pgSz w:w="11900" w:h="16838" w:orient="portrait"/>
          <w:cols w:equalWidth="0" w:num="1">
            <w:col w:w="11340"/>
          </w:cols>
          <w:pgMar w:left="320" w:top="104" w:right="239" w:bottom="1440" w:gutter="0" w:footer="0" w:header="0"/>
          <w:type w:val="continuous"/>
        </w:sectPr>
      </w:pPr>
    </w:p>
    <w:p>
      <w:pPr>
        <w:spacing w:after="0" w:line="107"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Realizability of Deferred Tax Assets</w:t>
      </w:r>
    </w:p>
    <w:p>
      <w:pPr>
        <w:spacing w:after="0" w:line="17" w:lineRule="exact"/>
        <w:rPr>
          <w:sz w:val="20"/>
          <w:szCs w:val="20"/>
          <w:color w:val="auto"/>
        </w:rPr>
      </w:pPr>
    </w:p>
    <w:p>
      <w:pPr>
        <w:ind w:left="820"/>
        <w:spacing w:after="0"/>
        <w:tabs>
          <w:tab w:leader="none" w:pos="2100" w:val="left"/>
        </w:tabs>
        <w:rPr>
          <w:sz w:val="20"/>
          <w:szCs w:val="20"/>
          <w:color w:val="auto"/>
        </w:rPr>
      </w:pPr>
      <w:r>
        <w:rPr>
          <w:rFonts w:ascii="Arial" w:cs="Arial" w:eastAsia="Arial" w:hAnsi="Arial"/>
          <w:sz w:val="16"/>
          <w:szCs w:val="16"/>
          <w:i w:val="1"/>
          <w:iCs w:val="1"/>
          <w:color w:val="auto"/>
        </w:rPr>
        <w:t>Description</w:t>
      </w:r>
      <w:r>
        <w:rPr>
          <w:sz w:val="20"/>
          <w:szCs w:val="20"/>
          <w:color w:val="auto"/>
        </w:rPr>
        <w:tab/>
      </w:r>
      <w:r>
        <w:rPr>
          <w:rFonts w:ascii="Arial" w:cs="Arial" w:eastAsia="Arial" w:hAnsi="Arial"/>
          <w:sz w:val="16"/>
          <w:szCs w:val="16"/>
          <w:color w:val="auto"/>
        </w:rPr>
        <w:t>As described in Notes 1 and 5 to the consolidated financial statements, the Company regularly assesses the need for a valuation</w:t>
      </w:r>
    </w:p>
    <w:p>
      <w:pPr>
        <w:spacing w:after="0" w:line="1" w:lineRule="exact"/>
        <w:rPr>
          <w:sz w:val="20"/>
          <w:szCs w:val="20"/>
          <w:color w:val="auto"/>
        </w:rPr>
      </w:pPr>
    </w:p>
    <w:p>
      <w:pPr>
        <w:jc w:val="both"/>
        <w:ind w:left="1720" w:hanging="1305"/>
        <w:spacing w:after="0" w:line="207" w:lineRule="auto"/>
        <w:tabs>
          <w:tab w:leader="none" w:pos="1700" w:val="left"/>
        </w:tabs>
        <w:rPr>
          <w:sz w:val="20"/>
          <w:szCs w:val="20"/>
          <w:color w:val="auto"/>
        </w:rPr>
      </w:pPr>
      <w:r>
        <w:rPr>
          <w:rFonts w:ascii="Arial" w:cs="Arial" w:eastAsia="Arial" w:hAnsi="Arial"/>
          <w:sz w:val="18"/>
          <w:szCs w:val="18"/>
          <w:i w:val="1"/>
          <w:iCs w:val="1"/>
          <w:color w:val="auto"/>
        </w:rPr>
        <w:t>of the Matter</w:t>
      </w:r>
      <w:r>
        <w:rPr>
          <w:sz w:val="20"/>
          <w:szCs w:val="20"/>
          <w:color w:val="auto"/>
        </w:rPr>
        <w:tab/>
      </w:r>
      <w:r>
        <w:rPr>
          <w:rFonts w:ascii="Arial" w:cs="Arial" w:eastAsia="Arial" w:hAnsi="Arial"/>
          <w:sz w:val="18"/>
          <w:szCs w:val="18"/>
          <w:color w:val="auto"/>
        </w:rPr>
        <w:t>allowance against its deferred tax assets. Valuation allowances are provided against deferred tax assets to the extent that it is more likely than not that the deferred tax assets will not be realized. The Company considers all available positive and negative evidence including it history of operating income or losses, future reversals of existing taxable temporary differences, tax planning strategies, and future taxab income (exclusive of reversing temporary differences and carryforwards.) During fiscal year 2021, the Company released $679.0 million in valuation allowance.</w:t>
      </w:r>
    </w:p>
    <w:p>
      <w:pPr>
        <w:spacing w:after="0" w:line="122" w:lineRule="exact"/>
        <w:rPr>
          <w:sz w:val="20"/>
          <w:szCs w:val="20"/>
          <w:color w:val="auto"/>
        </w:rPr>
      </w:pPr>
    </w:p>
    <w:p>
      <w:pPr>
        <w:ind w:left="1720" w:right="260"/>
        <w:spacing w:after="0" w:line="308" w:lineRule="auto"/>
        <w:rPr>
          <w:sz w:val="20"/>
          <w:szCs w:val="20"/>
          <w:color w:val="auto"/>
        </w:rPr>
      </w:pPr>
      <w:r>
        <w:rPr>
          <w:rFonts w:ascii="Arial" w:cs="Arial" w:eastAsia="Arial" w:hAnsi="Arial"/>
          <w:sz w:val="15"/>
          <w:szCs w:val="15"/>
          <w:color w:val="auto"/>
        </w:rPr>
        <w:t>Auditing the Company’s assessment of the realizability of deferred tax assets involved complex auditor judgment as the Company’s assessment is highly judgmental and based on significant assumptions that may be affected by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4"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right"/>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300" w:type="dxa"/>
            <w:vAlign w:val="bottom"/>
          </w:tcPr>
          <w:p>
            <w:pPr>
              <w:spacing w:after="0"/>
              <w:rPr>
                <w:sz w:val="17"/>
                <w:szCs w:val="17"/>
                <w:color w:val="auto"/>
              </w:rPr>
            </w:pPr>
          </w:p>
        </w:tc>
        <w:tc>
          <w:tcPr>
            <w:tcW w:w="9780" w:type="dxa"/>
            <w:vAlign w:val="bottom"/>
          </w:tcPr>
          <w:p>
            <w:pPr>
              <w:spacing w:after="0"/>
              <w:rPr>
                <w:sz w:val="17"/>
                <w:szCs w:val="17"/>
                <w:color w:val="auto"/>
              </w:rPr>
            </w:pPr>
          </w:p>
        </w:tc>
      </w:tr>
      <w:tr>
        <w:trPr>
          <w:trHeight w:val="799"/>
        </w:trPr>
        <w:tc>
          <w:tcPr>
            <w:tcW w:w="15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How We</w:t>
            </w:r>
          </w:p>
        </w:tc>
        <w:tc>
          <w:tcPr>
            <w:tcW w:w="9780" w:type="dxa"/>
            <w:vAlign w:val="bottom"/>
          </w:tcPr>
          <w:p>
            <w:pPr>
              <w:ind w:left="560"/>
              <w:spacing w:after="0"/>
              <w:rPr>
                <w:sz w:val="20"/>
                <w:szCs w:val="20"/>
                <w:color w:val="auto"/>
              </w:rPr>
            </w:pPr>
            <w:r>
              <w:rPr>
                <w:rFonts w:ascii="Arial" w:cs="Arial" w:eastAsia="Arial" w:hAnsi="Arial"/>
                <w:sz w:val="18"/>
                <w:szCs w:val="18"/>
                <w:color w:val="auto"/>
                <w:w w:val="87"/>
              </w:rPr>
              <w:t>We obtained an understanding, evaluated the design, and tested the operating effectiveness of internal controls over the Company’s</w:t>
            </w:r>
          </w:p>
        </w:tc>
      </w:tr>
      <w:tr>
        <w:trPr>
          <w:trHeight w:val="171"/>
        </w:trPr>
        <w:tc>
          <w:tcPr>
            <w:tcW w:w="1560" w:type="dxa"/>
            <w:vAlign w:val="bottom"/>
            <w:gridSpan w:val="2"/>
          </w:tcPr>
          <w:p>
            <w:pPr>
              <w:jc w:val="right"/>
              <w:ind w:right="160"/>
              <w:spacing w:after="0" w:line="171" w:lineRule="exact"/>
              <w:rPr>
                <w:sz w:val="20"/>
                <w:szCs w:val="20"/>
                <w:color w:val="auto"/>
              </w:rPr>
            </w:pPr>
            <w:r>
              <w:rPr>
                <w:rFonts w:ascii="Arial" w:cs="Arial" w:eastAsia="Arial" w:hAnsi="Arial"/>
                <w:sz w:val="18"/>
                <w:szCs w:val="18"/>
                <w:i w:val="1"/>
                <w:iCs w:val="1"/>
                <w:color w:val="auto"/>
              </w:rPr>
              <w:t>Addressed the</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8"/>
              </w:rPr>
              <w:t>accounting process related to the realizability of deferred tax assets. This included controls over the Company’s evaluation of positive an</w:t>
            </w:r>
          </w:p>
        </w:tc>
      </w:tr>
      <w:tr>
        <w:trPr>
          <w:trHeight w:val="171"/>
        </w:trPr>
        <w:tc>
          <w:tcPr>
            <w:tcW w:w="1560" w:type="dxa"/>
            <w:vAlign w:val="bottom"/>
            <w:gridSpan w:val="2"/>
          </w:tcPr>
          <w:p>
            <w:pPr>
              <w:jc w:val="right"/>
              <w:ind w:right="160"/>
              <w:spacing w:after="0" w:line="171" w:lineRule="exact"/>
              <w:rPr>
                <w:sz w:val="20"/>
                <w:szCs w:val="20"/>
                <w:color w:val="auto"/>
              </w:rPr>
            </w:pPr>
            <w:r>
              <w:rPr>
                <w:rFonts w:ascii="Arial" w:cs="Arial" w:eastAsia="Arial" w:hAnsi="Arial"/>
                <w:sz w:val="18"/>
                <w:szCs w:val="18"/>
                <w:i w:val="1"/>
                <w:iCs w:val="1"/>
                <w:color w:val="auto"/>
              </w:rPr>
              <w:t>Matter in Our</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9"/>
              </w:rPr>
              <w:t>negative evidence used in determining the amount of deferred tax assets that were more likely than not to be realized in the future, the</w:t>
            </w:r>
          </w:p>
        </w:tc>
      </w:tr>
      <w:tr>
        <w:trPr>
          <w:trHeight w:val="171"/>
        </w:trPr>
        <w:tc>
          <w:tcPr>
            <w:tcW w:w="1560" w:type="dxa"/>
            <w:vAlign w:val="bottom"/>
            <w:gridSpan w:val="2"/>
          </w:tcPr>
          <w:p>
            <w:pPr>
              <w:jc w:val="right"/>
              <w:ind w:right="760"/>
              <w:spacing w:after="0" w:line="171" w:lineRule="exact"/>
              <w:rPr>
                <w:sz w:val="20"/>
                <w:szCs w:val="20"/>
                <w:color w:val="auto"/>
              </w:rPr>
            </w:pPr>
            <w:r>
              <w:rPr>
                <w:rFonts w:ascii="Arial" w:cs="Arial" w:eastAsia="Arial" w:hAnsi="Arial"/>
                <w:sz w:val="18"/>
                <w:szCs w:val="18"/>
                <w:i w:val="1"/>
                <w:iCs w:val="1"/>
                <w:color w:val="auto"/>
              </w:rPr>
              <w:t>Audit</w:t>
            </w: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8"/>
              </w:rPr>
              <w:t>Company’s scheduling of the future reversal of existing taxable temporary differences, and projections of future taxable income. Our aud</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9"/>
              </w:rPr>
              <w:t>procedures included, among others, assessing the Company’s evaluation of positive and negative evidence and testing the Company’s</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90"/>
              </w:rPr>
              <w:t>scheduling of the reversal of existing taxable temporary differences. We evaluated the assumptions used by the Company to develop</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8"/>
              </w:rPr>
              <w:t>projections of future taxable income by jurisdiction and tested the completeness and accuracy of the underlying data used in its projectio</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91"/>
              </w:rPr>
              <w:t>For example, we compared the projections of future taxable income with the actual results of prior periods, as well as the Company’s</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7"/>
              </w:rPr>
              <w:t>analysis of current industry and economic trends. We also assessed the historical accuracy of the Company’s projections and compared t</w:t>
            </w: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Pr>
          <w:p>
            <w:pPr>
              <w:ind w:left="160"/>
              <w:spacing w:after="0" w:line="171" w:lineRule="exact"/>
              <w:rPr>
                <w:sz w:val="20"/>
                <w:szCs w:val="20"/>
                <w:color w:val="auto"/>
              </w:rPr>
            </w:pPr>
            <w:r>
              <w:rPr>
                <w:rFonts w:ascii="Arial" w:cs="Arial" w:eastAsia="Arial" w:hAnsi="Arial"/>
                <w:sz w:val="18"/>
                <w:szCs w:val="18"/>
                <w:color w:val="auto"/>
                <w:w w:val="88"/>
              </w:rPr>
              <w:t>projections of future taxable income with other forecasted financial information prepared by the Company. We evaluated the adequacy o</w:t>
            </w:r>
          </w:p>
        </w:tc>
      </w:tr>
      <w:tr>
        <w:trPr>
          <w:trHeight w:val="223"/>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the Company’s financial statement disclosures related to the release of its valuation allowance.</w:t>
            </w: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4"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120" w:firstLine="396"/>
        <w:spacing w:after="0" w:line="250" w:lineRule="auto"/>
        <w:rPr>
          <w:sz w:val="20"/>
          <w:szCs w:val="20"/>
          <w:color w:val="auto"/>
        </w:rPr>
      </w:pPr>
      <w:r>
        <w:rPr>
          <w:rFonts w:ascii="Arial" w:cs="Arial" w:eastAsia="Arial" w:hAnsi="Arial"/>
          <w:sz w:val="18"/>
          <w:szCs w:val="18"/>
          <w:color w:val="auto"/>
        </w:rPr>
        <w:t>We have audited Autodesk, Inc.’s internal control over financial reporting as of January 31, 2021, based on criteria established in Internal Control-Integrated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2021, based on the COSO criteria.</w:t>
      </w:r>
    </w:p>
    <w:p>
      <w:pPr>
        <w:spacing w:after="0" w:line="219" w:lineRule="exact"/>
        <w:rPr>
          <w:sz w:val="20"/>
          <w:szCs w:val="20"/>
          <w:color w:val="auto"/>
        </w:rPr>
      </w:pPr>
    </w:p>
    <w:p>
      <w:pPr>
        <w:ind w:right="20" w:firstLine="396"/>
        <w:spacing w:after="0" w:line="29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accompanying consolidated balance sheets of the Company as of January 31, 2021, and 2020, the related consolidated statements of operations, comprehensive income (loss), stockholders’ (deficit) equity, and cash flows for each of the three years in the period ended January 31, 2021, and the related notes and the financial statement schedule listed in the Index at Item 15(a)(2) and our report dated March 19, 2021, expressed an unqualified opinion thereon.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ind w:right="60" w:firstLine="396"/>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8" w:lineRule="exact"/>
        <w:rPr>
          <w:sz w:val="20"/>
          <w:szCs w:val="20"/>
          <w:color w:val="auto"/>
        </w:rPr>
      </w:pPr>
    </w:p>
    <w:p>
      <w:pPr>
        <w:ind w:right="180" w:firstLine="396"/>
        <w:spacing w:after="0" w:line="25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ind w:right="40" w:firstLine="396"/>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6"/>
          <w:szCs w:val="16"/>
          <w:b w:val="1"/>
          <w:bCs w:val="1"/>
          <w:color w:val="0696D7"/>
        </w:rPr>
        <w:t>CHANGES IN AND DISAGREEMENTS WITH ACCOUNTANTS ON ACCOUNTING AND FINANCIAL DISCLOSURE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6"/>
          <w:szCs w:val="16"/>
          <w:b w:val="1"/>
          <w:bCs w:val="1"/>
          <w:color w:val="0696D7"/>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160" w:firstLine="435"/>
        <w:spacing w:after="0" w:line="301" w:lineRule="auto"/>
        <w:rPr>
          <w:sz w:val="20"/>
          <w:szCs w:val="20"/>
          <w:color w:val="auto"/>
        </w:rPr>
      </w:pPr>
      <w:r>
        <w:rPr>
          <w:rFonts w:ascii="Arial" w:cs="Arial" w:eastAsia="Arial" w:hAnsi="Arial"/>
          <w:sz w:val="15"/>
          <w:szCs w:val="15"/>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spacing w:after="0" w:line="1" w:lineRule="exact"/>
        <w:rPr>
          <w:sz w:val="20"/>
          <w:szCs w:val="20"/>
          <w:color w:val="auto"/>
        </w:rPr>
      </w:pPr>
    </w:p>
    <w:p>
      <w:pPr>
        <w:ind w:firstLine="6"/>
        <w:spacing w:after="0" w:line="245" w:lineRule="auto"/>
        <w:tabs>
          <w:tab w:leader="none" w:pos="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2021.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8" w:lineRule="exact"/>
        <w:rPr>
          <w:sz w:val="20"/>
          <w:szCs w:val="20"/>
          <w:color w:val="auto"/>
        </w:rPr>
      </w:pPr>
    </w:p>
    <w:p>
      <w:pPr>
        <w:ind w:right="60" w:firstLine="396"/>
        <w:spacing w:after="0" w:line="250" w:lineRule="auto"/>
        <w:rPr>
          <w:sz w:val="20"/>
          <w:szCs w:val="20"/>
          <w:color w:val="auto"/>
        </w:rPr>
      </w:pPr>
      <w:r>
        <w:rPr>
          <w:rFonts w:ascii="Arial" w:cs="Arial" w:eastAsia="Arial" w:hAnsi="Arial"/>
          <w:sz w:val="18"/>
          <w:szCs w:val="18"/>
          <w:color w:val="auto"/>
        </w:rPr>
        <w:t>Our management has concluded that, as of January 31, 2021,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40" w:firstLine="396"/>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during the three months ended January 31, 2021, that have materially affected, or are reasonably likely to materially affect, our internal control over financial reporting.</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68" w:lineRule="exact"/>
        <w:rPr>
          <w:sz w:val="20"/>
          <w:szCs w:val="20"/>
          <w:color w:val="auto"/>
        </w:rPr>
      </w:pPr>
    </w:p>
    <w:p>
      <w:pPr>
        <w:jc w:val="both"/>
        <w:ind w:right="40" w:firstLine="435"/>
        <w:spacing w:after="0" w:line="250"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21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6"/>
          <w:szCs w:val="16"/>
          <w:b w:val="1"/>
          <w:bCs w:val="1"/>
          <w:color w:val="0696D7"/>
        </w:rPr>
        <w:t>DIRECTORS, EXECUTIVE OFFICERS AND CORPORATE GOVERNANCE</w:t>
      </w:r>
    </w:p>
    <w:p>
      <w:pPr>
        <w:spacing w:after="0" w:line="247"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19, 2021, regarding our executive officers.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403"/>
              <w:spacing w:after="0"/>
              <w:rPr>
                <w:sz w:val="20"/>
                <w:szCs w:val="20"/>
                <w:color w:val="auto"/>
              </w:rPr>
            </w:pPr>
            <w:r>
              <w:rPr>
                <w:rFonts w:ascii="Arial" w:cs="Arial" w:eastAsia="Arial" w:hAnsi="Arial"/>
                <w:sz w:val="14"/>
                <w:szCs w:val="14"/>
                <w:b w:val="1"/>
                <w:bCs w:val="1"/>
                <w:color w:val="auto"/>
                <w:w w:val="90"/>
              </w:rPr>
              <w:t>Age</w:t>
            </w: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4"/>
        </w:trPr>
        <w:tc>
          <w:tcPr>
            <w:tcW w:w="250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1440" w:type="dxa"/>
            <w:vAlign w:val="bottom"/>
            <w:gridSpan w:val="2"/>
          </w:tcPr>
          <w:p>
            <w:pPr>
              <w:jc w:val="center"/>
              <w:ind w:left="1123"/>
              <w:spacing w:after="0"/>
              <w:rPr>
                <w:sz w:val="20"/>
                <w:szCs w:val="20"/>
                <w:color w:val="auto"/>
              </w:rPr>
            </w:pPr>
            <w:r>
              <w:rPr>
                <w:rFonts w:ascii="Arial" w:cs="Arial" w:eastAsia="Arial" w:hAnsi="Arial"/>
                <w:sz w:val="16"/>
                <w:szCs w:val="16"/>
                <w:color w:val="auto"/>
                <w:w w:val="89"/>
              </w:rPr>
              <w:t>56</w:t>
            </w:r>
          </w:p>
        </w:tc>
        <w:tc>
          <w:tcPr>
            <w:tcW w:w="7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11"/>
        </w:trPr>
        <w:tc>
          <w:tcPr>
            <w:tcW w:w="2500" w:type="dxa"/>
            <w:vAlign w:val="bottom"/>
            <w:gridSpan w:val="2"/>
          </w:tcPr>
          <w:p>
            <w:pPr>
              <w:spacing w:after="0"/>
              <w:rPr>
                <w:sz w:val="20"/>
                <w:szCs w:val="20"/>
                <w:color w:val="auto"/>
              </w:rPr>
            </w:pPr>
            <w:r>
              <w:rPr>
                <w:rFonts w:ascii="Arial" w:cs="Arial" w:eastAsia="Arial" w:hAnsi="Arial"/>
                <w:sz w:val="16"/>
                <w:szCs w:val="16"/>
                <w:color w:val="auto"/>
              </w:rPr>
              <w:t>Deborah L. Clifford</w:t>
            </w:r>
          </w:p>
        </w:tc>
        <w:tc>
          <w:tcPr>
            <w:tcW w:w="1440" w:type="dxa"/>
            <w:vAlign w:val="bottom"/>
            <w:gridSpan w:val="2"/>
          </w:tcPr>
          <w:p>
            <w:pPr>
              <w:jc w:val="center"/>
              <w:ind w:left="1123"/>
              <w:spacing w:after="0"/>
              <w:rPr>
                <w:sz w:val="20"/>
                <w:szCs w:val="20"/>
                <w:color w:val="auto"/>
              </w:rPr>
            </w:pPr>
            <w:r>
              <w:rPr>
                <w:rFonts w:ascii="Arial" w:cs="Arial" w:eastAsia="Arial" w:hAnsi="Arial"/>
                <w:sz w:val="16"/>
                <w:szCs w:val="16"/>
                <w:color w:val="auto"/>
                <w:w w:val="89"/>
              </w:rPr>
              <w:t>46</w:t>
            </w:r>
          </w:p>
        </w:tc>
        <w:tc>
          <w:tcPr>
            <w:tcW w:w="7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EVP and Chief Financial Officer</w:t>
            </w:r>
          </w:p>
        </w:tc>
      </w:tr>
      <w:tr>
        <w:trPr>
          <w:trHeight w:val="211"/>
        </w:trPr>
        <w:tc>
          <w:tcPr>
            <w:tcW w:w="250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40" w:type="dxa"/>
            <w:vAlign w:val="bottom"/>
            <w:gridSpan w:val="2"/>
          </w:tcPr>
          <w:p>
            <w:pPr>
              <w:jc w:val="center"/>
              <w:ind w:left="1123"/>
              <w:spacing w:after="0"/>
              <w:rPr>
                <w:sz w:val="20"/>
                <w:szCs w:val="20"/>
                <w:color w:val="auto"/>
              </w:rPr>
            </w:pPr>
            <w:r>
              <w:rPr>
                <w:rFonts w:ascii="Arial" w:cs="Arial" w:eastAsia="Arial" w:hAnsi="Arial"/>
                <w:sz w:val="16"/>
                <w:szCs w:val="16"/>
                <w:color w:val="auto"/>
                <w:w w:val="89"/>
              </w:rPr>
              <w:t>56</w:t>
            </w:r>
          </w:p>
        </w:tc>
        <w:tc>
          <w:tcPr>
            <w:tcW w:w="7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Chief Revenue Officer</w:t>
            </w:r>
          </w:p>
        </w:tc>
      </w:tr>
      <w:tr>
        <w:trPr>
          <w:trHeight w:val="211"/>
        </w:trPr>
        <w:tc>
          <w:tcPr>
            <w:tcW w:w="250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40" w:type="dxa"/>
            <w:vAlign w:val="bottom"/>
            <w:gridSpan w:val="2"/>
          </w:tcPr>
          <w:p>
            <w:pPr>
              <w:jc w:val="center"/>
              <w:ind w:left="1123"/>
              <w:spacing w:after="0"/>
              <w:rPr>
                <w:sz w:val="20"/>
                <w:szCs w:val="20"/>
                <w:color w:val="auto"/>
              </w:rPr>
            </w:pPr>
            <w:r>
              <w:rPr>
                <w:rFonts w:ascii="Arial" w:cs="Arial" w:eastAsia="Arial" w:hAnsi="Arial"/>
                <w:sz w:val="16"/>
                <w:szCs w:val="16"/>
                <w:color w:val="auto"/>
                <w:w w:val="89"/>
              </w:rPr>
              <w:t>56</w:t>
            </w:r>
          </w:p>
        </w:tc>
        <w:tc>
          <w:tcPr>
            <w:tcW w:w="7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w w:val="91"/>
              </w:rPr>
              <w:t>EVP, Corporate Affairs, Chief Legal Officer &amp; Secretary</w:t>
            </w:r>
          </w:p>
        </w:tc>
      </w:tr>
    </w:tbl>
    <w:p>
      <w:pPr>
        <w:spacing w:after="0" w:line="305"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b w:val="1"/>
          <w:bCs w:val="1"/>
          <w:color w:val="auto"/>
        </w:rPr>
        <w:t xml:space="preserve">Andrew Anagnost </w:t>
      </w:r>
      <w:r>
        <w:rPr>
          <w:rFonts w:ascii="Arial" w:cs="Arial" w:eastAsia="Arial" w:hAnsi="Arial"/>
          <w:sz w:val="18"/>
          <w:szCs w:val="18"/>
          <w:color w:val="auto"/>
        </w:rPr>
        <w:t>joined Autodesk in September 1997 and has served as President and Chief Executive Officer since June 2017. He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Chief Financial Officer from January 2021 to March 2021. Dr. Anagnost 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215" w:lineRule="exact"/>
        <w:rPr>
          <w:sz w:val="20"/>
          <w:szCs w:val="20"/>
          <w:color w:val="auto"/>
        </w:rPr>
      </w:pPr>
    </w:p>
    <w:p>
      <w:pPr>
        <w:ind w:right="200" w:firstLine="396"/>
        <w:spacing w:after="0" w:line="294" w:lineRule="auto"/>
        <w:rPr>
          <w:sz w:val="20"/>
          <w:szCs w:val="20"/>
          <w:color w:val="auto"/>
        </w:rPr>
      </w:pPr>
      <w:r>
        <w:rPr>
          <w:rFonts w:ascii="Arial" w:cs="Arial" w:eastAsia="Arial" w:hAnsi="Arial"/>
          <w:sz w:val="16"/>
          <w:szCs w:val="16"/>
          <w:b w:val="1"/>
          <w:bCs w:val="1"/>
          <w:color w:val="auto"/>
        </w:rPr>
        <w:t xml:space="preserve">Deborah L. Clifford </w:t>
      </w:r>
      <w:r>
        <w:rPr>
          <w:rFonts w:ascii="Arial" w:cs="Arial" w:eastAsia="Arial" w:hAnsi="Arial"/>
          <w:sz w:val="16"/>
          <w:szCs w:val="16"/>
          <w:color w:val="auto"/>
        </w:rPr>
        <w:t>joined Autodesk as Executive Vice President and Chief Financial Officer in March 2021. Ms. Clifford previously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SVMK Inc. (“SurveyMonkey”), an online survey development company, since July 2019. Prior to joining SurveyMonkey, Ms. Clifford served as Vice President of Financial Planning and Analysis at Autodesk from January 2018 to July 2019, and had served in various finance positions at Autodesk since September 2005, including as Vice President, Division Finance from July 2014 to December 2017.</w:t>
      </w:r>
    </w:p>
    <w:p>
      <w:pPr>
        <w:spacing w:after="0" w:line="180" w:lineRule="exact"/>
        <w:rPr>
          <w:sz w:val="20"/>
          <w:szCs w:val="20"/>
          <w:color w:val="auto"/>
        </w:rPr>
      </w:pPr>
    </w:p>
    <w:p>
      <w:pPr>
        <w:ind w:right="20" w:firstLine="396"/>
        <w:spacing w:after="0" w:line="289" w:lineRule="auto"/>
        <w:rPr>
          <w:sz w:val="20"/>
          <w:szCs w:val="20"/>
          <w:color w:val="auto"/>
        </w:rPr>
      </w:pPr>
      <w:r>
        <w:rPr>
          <w:rFonts w:ascii="Arial" w:cs="Arial" w:eastAsia="Arial" w:hAnsi="Arial"/>
          <w:sz w:val="16"/>
          <w:szCs w:val="16"/>
          <w:b w:val="1"/>
          <w:bCs w:val="1"/>
          <w:color w:val="auto"/>
        </w:rPr>
        <w:t xml:space="preserve">Steven M. Blum </w:t>
      </w:r>
      <w:r>
        <w:rPr>
          <w:rFonts w:ascii="Arial" w:cs="Arial" w:eastAsia="Arial" w:hAnsi="Arial"/>
          <w:sz w:val="16"/>
          <w:szCs w:val="16"/>
          <w:color w:val="auto"/>
        </w:rPr>
        <w:t>joined Autodesk in January 2003 and has served as Chief Revenue Officer since August 2020. He previously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Worldwide Field Operations since September 2017. Mr. 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85"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Executive Vice President, Corporate Affairs, Chief Legal Officer &amp; Secretary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2016. Mr. Di Fronzo served as Senior Vice President, General Counsel and Secretary from March 2007 to December 2016. From 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6"/>
          <w:szCs w:val="16"/>
          <w:b w:val="1"/>
          <w:bCs w:val="1"/>
          <w:color w:val="0696D7"/>
        </w:rPr>
        <w:t>EXECUTIVE COMPENSATION</w:t>
      </w:r>
    </w:p>
    <w:p>
      <w:pPr>
        <w:spacing w:after="0" w:line="247" w:lineRule="exact"/>
        <w:rPr>
          <w:sz w:val="20"/>
          <w:szCs w:val="20"/>
          <w:color w:val="auto"/>
        </w:rPr>
      </w:pPr>
    </w:p>
    <w:p>
      <w:pPr>
        <w:ind w:right="1020" w:firstLine="435"/>
        <w:spacing w:after="0" w:line="262"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“Corporate Governance” and “Executive Compensation” in our Proxy Statement.</w:t>
      </w:r>
    </w:p>
    <w:p>
      <w:pPr>
        <w:spacing w:after="0" w:line="202" w:lineRule="exact"/>
        <w:rPr>
          <w:sz w:val="20"/>
          <w:szCs w:val="20"/>
          <w:color w:val="auto"/>
        </w:rPr>
      </w:pPr>
    </w:p>
    <w:p>
      <w:pPr>
        <w:ind w:left="1260" w:right="240" w:hanging="1265"/>
        <w:spacing w:after="0" w:line="269" w:lineRule="auto"/>
        <w:tabs>
          <w:tab w:leader="none" w:pos="124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201" w:lineRule="exact"/>
        <w:rPr>
          <w:sz w:val="20"/>
          <w:szCs w:val="20"/>
          <w:color w:val="auto"/>
        </w:rPr>
      </w:pPr>
    </w:p>
    <w:p>
      <w:pPr>
        <w:ind w:right="20" w:firstLine="435"/>
        <w:spacing w:after="0" w:line="262"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“Executive Compensation—Equity Compensation Plan Information” in our Proxy Statement.</w:t>
      </w:r>
    </w:p>
    <w:p>
      <w:pPr>
        <w:spacing w:after="0" w:line="20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6"/>
          <w:szCs w:val="16"/>
          <w:b w:val="1"/>
          <w:bCs w:val="1"/>
          <w:color w:val="0696D7"/>
        </w:rPr>
        <w:t>CERTAIN RELATIONSHIPS AND RELATED TRANSACTIONS, AND DIRECTOR INDEPENDENCE</w:t>
      </w:r>
    </w:p>
    <w:p>
      <w:pPr>
        <w:spacing w:after="0" w:line="247"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“Certain Relationships and Related Party Transactions” and “Corporate Governance—Independence of the Board” in our Proxy Statement.</w:t>
      </w:r>
    </w:p>
    <w:p>
      <w:pPr>
        <w:spacing w:after="0" w:line="20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6"/>
          <w:szCs w:val="16"/>
          <w:b w:val="1"/>
          <w:bCs w:val="1"/>
          <w:color w:val="0696D7"/>
        </w:rPr>
        <w:t>PRINCIPAL ACCOUNTING FEES AND SERVICES</w:t>
      </w:r>
    </w:p>
    <w:p>
      <w:pPr>
        <w:spacing w:after="0" w:line="247"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6"/>
          <w:szCs w:val="16"/>
          <w:b w:val="1"/>
          <w:bCs w:val="1"/>
          <w:color w:val="0696D7"/>
        </w:rPr>
        <w:t>EXHIBITS AND FINANCIAL STATEMENT SCHEDULES</w:t>
      </w:r>
    </w:p>
    <w:p>
      <w:pPr>
        <w:spacing w:after="0" w:line="247" w:lineRule="exact"/>
        <w:rPr>
          <w:sz w:val="20"/>
          <w:szCs w:val="20"/>
          <w:color w:val="auto"/>
        </w:rPr>
      </w:pPr>
    </w:p>
    <w:p>
      <w:pPr>
        <w:ind w:left="820" w:hanging="419"/>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1" w:lineRule="exact"/>
        <w:rPr>
          <w:rFonts w:ascii="Arial" w:cs="Arial" w:eastAsia="Arial" w:hAnsi="Arial"/>
          <w:sz w:val="18"/>
          <w:szCs w:val="18"/>
          <w:color w:val="auto"/>
        </w:rPr>
      </w:pPr>
    </w:p>
    <w:p>
      <w:pPr>
        <w:ind w:left="880" w:right="20" w:hanging="321"/>
        <w:spacing w:after="0" w:line="253" w:lineRule="auto"/>
        <w:tabs>
          <w:tab w:leader="none" w:pos="880"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the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215" w:lineRule="exact"/>
        <w:rPr>
          <w:rFonts w:ascii="Arial" w:cs="Arial" w:eastAsia="Arial" w:hAnsi="Arial"/>
          <w:sz w:val="18"/>
          <w:szCs w:val="18"/>
          <w:i w:val="1"/>
          <w:iCs w:val="1"/>
          <w:color w:val="auto"/>
        </w:rPr>
      </w:pPr>
    </w:p>
    <w:p>
      <w:pPr>
        <w:ind w:left="880" w:right="280" w:hanging="321"/>
        <w:spacing w:after="0" w:line="325" w:lineRule="auto"/>
        <w:tabs>
          <w:tab w:leader="none" w:pos="880" w:val="left"/>
        </w:tabs>
        <w:numPr>
          <w:ilvl w:val="1"/>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2021, 2020,</w:t>
      </w:r>
      <w:r>
        <w:rPr>
          <w:rFonts w:ascii="Arial" w:cs="Arial" w:eastAsia="Arial" w:hAnsi="Arial"/>
          <w:sz w:val="16"/>
          <w:szCs w:val="16"/>
          <w:i w:val="1"/>
          <w:iCs w:val="1"/>
          <w:color w:val="auto"/>
        </w:rPr>
        <w:t xml:space="preserve"> </w:t>
      </w:r>
      <w:r>
        <w:rPr>
          <w:rFonts w:ascii="Arial" w:cs="Arial" w:eastAsia="Arial" w:hAnsi="Arial"/>
          <w:sz w:val="16"/>
          <w:szCs w:val="16"/>
          <w:color w:val="auto"/>
        </w:rPr>
        <w:t>and 2019, is filed as part of this Report and should be read in conjunction with the Consolidated Financial Statements of Autodesk, Inc.:</w:t>
      </w:r>
    </w:p>
    <w:p>
      <w:pPr>
        <w:spacing w:after="0" w:line="161" w:lineRule="exact"/>
        <w:rPr>
          <w:sz w:val="20"/>
          <w:szCs w:val="20"/>
          <w:color w:val="auto"/>
        </w:rPr>
      </w:pPr>
    </w:p>
    <w:p>
      <w:pPr>
        <w:ind w:left="1120"/>
        <w:spacing w:after="0"/>
        <w:tabs>
          <w:tab w:leader="none" w:pos="208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41" w:lineRule="exact"/>
        <w:rPr>
          <w:sz w:val="20"/>
          <w:szCs w:val="20"/>
          <w:color w:val="auto"/>
        </w:rPr>
      </w:pPr>
    </w:p>
    <w:p>
      <w:pPr>
        <w:ind w:left="880" w:right="80"/>
        <w:spacing w:after="0" w:line="262"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208" w:lineRule="exact"/>
        <w:rPr>
          <w:sz w:val="20"/>
          <w:szCs w:val="20"/>
          <w:color w:val="auto"/>
        </w:rPr>
      </w:pPr>
    </w:p>
    <w:p>
      <w:pPr>
        <w:ind w:left="880" w:right="400" w:hanging="321"/>
        <w:spacing w:after="0" w:line="262" w:lineRule="auto"/>
        <w:tabs>
          <w:tab w:leader="none" w:pos="880" w:val="left"/>
        </w:tabs>
        <w:numPr>
          <w:ilvl w:val="1"/>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prior to the signature page of this Form 10-K.</w:t>
      </w:r>
    </w:p>
    <w:p>
      <w:pPr>
        <w:spacing w:after="0" w:line="207" w:lineRule="exact"/>
        <w:rPr>
          <w:rFonts w:ascii="Arial" w:cs="Arial" w:eastAsia="Arial" w:hAnsi="Arial"/>
          <w:sz w:val="18"/>
          <w:szCs w:val="18"/>
          <w:i w:val="1"/>
          <w:iCs w:val="1"/>
          <w:color w:val="auto"/>
        </w:rPr>
      </w:pPr>
    </w:p>
    <w:p>
      <w:pPr>
        <w:ind w:left="820" w:hanging="419"/>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Exhibits:</w:t>
      </w:r>
    </w:p>
    <w:p>
      <w:pPr>
        <w:spacing w:after="0" w:line="241" w:lineRule="exact"/>
        <w:rPr>
          <w:sz w:val="20"/>
          <w:szCs w:val="20"/>
          <w:color w:val="auto"/>
        </w:rPr>
      </w:pPr>
    </w:p>
    <w:p>
      <w:pPr>
        <w:ind w:left="880" w:right="300"/>
        <w:spacing w:after="0" w:line="262" w:lineRule="auto"/>
        <w:rPr>
          <w:sz w:val="20"/>
          <w:szCs w:val="20"/>
          <w:color w:val="auto"/>
        </w:rPr>
      </w:pPr>
      <w:r>
        <w:rPr>
          <w:rFonts w:ascii="Arial" w:cs="Arial" w:eastAsia="Arial" w:hAnsi="Arial"/>
          <w:sz w:val="18"/>
          <w:szCs w:val="18"/>
          <w:color w:val="auto"/>
        </w:rPr>
        <w:t>We have filed, or incorporated into this Report by reference, the exhibits listed on the accompanying Index to Exhibits immediately prior to the signature page of this Form 10-K.</w:t>
      </w:r>
    </w:p>
    <w:p>
      <w:pPr>
        <w:spacing w:after="0" w:line="208" w:lineRule="exact"/>
        <w:rPr>
          <w:sz w:val="20"/>
          <w:szCs w:val="20"/>
          <w:color w:val="auto"/>
        </w:rPr>
      </w:pPr>
    </w:p>
    <w:p>
      <w:pPr>
        <w:ind w:left="820" w:hanging="419"/>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w:t>
      </w:r>
    </w:p>
    <w:p>
      <w:pPr>
        <w:spacing w:after="0" w:line="24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0696D7"/>
        </w:rPr>
        <w:t>SCHEDULE II: VALUATION AND QUALIFYING ACCOUNTS</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0696D7"/>
        </w:rPr>
        <w:t>(in millions)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tcPr>
          <w:p>
            <w:pPr>
              <w:jc w:val="center"/>
              <w:ind w:right="546"/>
              <w:spacing w:after="0"/>
              <w:rPr>
                <w:sz w:val="20"/>
                <w:szCs w:val="20"/>
                <w:color w:val="auto"/>
              </w:rPr>
            </w:pPr>
            <w:r>
              <w:rPr>
                <w:rFonts w:ascii="Arial" w:cs="Arial" w:eastAsia="Arial" w:hAnsi="Arial"/>
                <w:sz w:val="14"/>
                <w:szCs w:val="14"/>
                <w:b w:val="1"/>
                <w:bCs w:val="1"/>
                <w:color w:val="auto"/>
                <w:w w:val="92"/>
              </w:rPr>
              <w:t>Additions</w:t>
            </w: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restart"/>
          </w:tcPr>
          <w:p>
            <w:pPr>
              <w:jc w:val="center"/>
              <w:ind w:right="384"/>
              <w:spacing w:after="0"/>
              <w:rPr>
                <w:sz w:val="20"/>
                <w:szCs w:val="20"/>
                <w:color w:val="auto"/>
              </w:rPr>
            </w:pPr>
            <w:r>
              <w:rPr>
                <w:rFonts w:ascii="Arial" w:cs="Arial" w:eastAsia="Arial" w:hAnsi="Arial"/>
                <w:sz w:val="14"/>
                <w:szCs w:val="14"/>
                <w:b w:val="1"/>
                <w:bCs w:val="1"/>
                <w:color w:val="auto"/>
                <w:w w:val="91"/>
              </w:rPr>
              <w:t>Balance at</w:t>
            </w:r>
          </w:p>
        </w:tc>
        <w:tc>
          <w:tcPr>
            <w:tcW w:w="1940" w:type="dxa"/>
            <w:vAlign w:val="bottom"/>
          </w:tcPr>
          <w:p>
            <w:pPr>
              <w:jc w:val="center"/>
              <w:ind w:right="546"/>
              <w:spacing w:after="0" w:line="132" w:lineRule="exact"/>
              <w:rPr>
                <w:sz w:val="20"/>
                <w:szCs w:val="20"/>
                <w:color w:val="auto"/>
              </w:rPr>
            </w:pPr>
            <w:r>
              <w:rPr>
                <w:rFonts w:ascii="Arial" w:cs="Arial" w:eastAsia="Arial" w:hAnsi="Arial"/>
                <w:sz w:val="14"/>
                <w:szCs w:val="14"/>
                <w:b w:val="1"/>
                <w:bCs w:val="1"/>
                <w:color w:val="auto"/>
                <w:w w:val="91"/>
              </w:rPr>
              <w:t>Charged to</w:t>
            </w:r>
          </w:p>
        </w:tc>
        <w:tc>
          <w:tcPr>
            <w:tcW w:w="1220" w:type="dxa"/>
            <w:vAlign w:val="bottom"/>
            <w:vMerge w:val="restart"/>
          </w:tcPr>
          <w:p>
            <w:pPr>
              <w:jc w:val="center"/>
              <w:ind w:right="344"/>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940" w:type="dxa"/>
            <w:vAlign w:val="bottom"/>
          </w:tcPr>
          <w:p>
            <w:pPr>
              <w:jc w:val="center"/>
              <w:ind w:right="546"/>
              <w:spacing w:after="0" w:line="132" w:lineRule="exact"/>
              <w:rPr>
                <w:sz w:val="20"/>
                <w:szCs w:val="20"/>
                <w:color w:val="auto"/>
              </w:rPr>
            </w:pPr>
            <w:r>
              <w:rPr>
                <w:rFonts w:ascii="Arial" w:cs="Arial" w:eastAsia="Arial" w:hAnsi="Arial"/>
                <w:sz w:val="14"/>
                <w:szCs w:val="14"/>
                <w:b w:val="1"/>
                <w:bCs w:val="1"/>
                <w:color w:val="auto"/>
                <w:w w:val="88"/>
              </w:rPr>
              <w:t>Costs and</w:t>
            </w:r>
          </w:p>
        </w:tc>
        <w:tc>
          <w:tcPr>
            <w:tcW w:w="1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540" w:type="dxa"/>
            <w:vAlign w:val="bottom"/>
          </w:tcPr>
          <w:p>
            <w:pPr>
              <w:jc w:val="center"/>
              <w:ind w:right="384"/>
              <w:spacing w:after="0" w:line="132" w:lineRule="exact"/>
              <w:rPr>
                <w:sz w:val="20"/>
                <w:szCs w:val="20"/>
                <w:color w:val="auto"/>
              </w:rPr>
            </w:pPr>
            <w:r>
              <w:rPr>
                <w:rFonts w:ascii="Arial" w:cs="Arial" w:eastAsia="Arial" w:hAnsi="Arial"/>
                <w:sz w:val="14"/>
                <w:szCs w:val="14"/>
                <w:b w:val="1"/>
                <w:bCs w:val="1"/>
                <w:color w:val="auto"/>
                <w:w w:val="87"/>
              </w:rPr>
              <w:t>Beginning</w:t>
            </w:r>
          </w:p>
        </w:tc>
        <w:tc>
          <w:tcPr>
            <w:tcW w:w="1940" w:type="dxa"/>
            <w:vAlign w:val="bottom"/>
          </w:tcPr>
          <w:p>
            <w:pPr>
              <w:jc w:val="center"/>
              <w:ind w:right="546"/>
              <w:spacing w:after="0" w:line="132" w:lineRule="exact"/>
              <w:rPr>
                <w:sz w:val="20"/>
                <w:szCs w:val="20"/>
                <w:color w:val="auto"/>
              </w:rPr>
            </w:pPr>
            <w:r>
              <w:rPr>
                <w:rFonts w:ascii="Arial" w:cs="Arial" w:eastAsia="Arial" w:hAnsi="Arial"/>
                <w:sz w:val="14"/>
                <w:szCs w:val="14"/>
                <w:b w:val="1"/>
                <w:bCs w:val="1"/>
                <w:color w:val="auto"/>
                <w:w w:val="86"/>
              </w:rPr>
              <w:t>Expenses or</w:t>
            </w:r>
          </w:p>
        </w:tc>
        <w:tc>
          <w:tcPr>
            <w:tcW w:w="1220" w:type="dxa"/>
            <w:vAlign w:val="bottom"/>
          </w:tcPr>
          <w:p>
            <w:pPr>
              <w:jc w:val="center"/>
              <w:ind w:right="344"/>
              <w:spacing w:after="0" w:line="132"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ind w:right="404"/>
              <w:spacing w:after="0" w:line="145" w:lineRule="exact"/>
              <w:rPr>
                <w:sz w:val="20"/>
                <w:szCs w:val="20"/>
                <w:color w:val="auto"/>
              </w:rPr>
            </w:pPr>
            <w:r>
              <w:rPr>
                <w:rFonts w:ascii="Arial" w:cs="Arial" w:eastAsia="Arial" w:hAnsi="Arial"/>
                <w:sz w:val="14"/>
                <w:szCs w:val="14"/>
                <w:b w:val="1"/>
                <w:bCs w:val="1"/>
                <w:color w:val="auto"/>
                <w:w w:val="90"/>
              </w:rPr>
              <w:t>of Fiscal Year</w:t>
            </w:r>
          </w:p>
        </w:tc>
        <w:tc>
          <w:tcPr>
            <w:tcW w:w="1940" w:type="dxa"/>
            <w:vAlign w:val="bottom"/>
          </w:tcPr>
          <w:p>
            <w:pPr>
              <w:jc w:val="center"/>
              <w:ind w:right="546"/>
              <w:spacing w:after="0" w:line="145" w:lineRule="exact"/>
              <w:rPr>
                <w:sz w:val="20"/>
                <w:szCs w:val="20"/>
                <w:color w:val="auto"/>
              </w:rPr>
            </w:pPr>
            <w:r>
              <w:rPr>
                <w:rFonts w:ascii="Arial" w:cs="Arial" w:eastAsia="Arial" w:hAnsi="Arial"/>
                <w:sz w:val="14"/>
                <w:szCs w:val="14"/>
                <w:b w:val="1"/>
                <w:bCs w:val="1"/>
                <w:color w:val="auto"/>
                <w:w w:val="84"/>
              </w:rPr>
              <w:t>Revenues</w:t>
            </w:r>
          </w:p>
        </w:tc>
        <w:tc>
          <w:tcPr>
            <w:tcW w:w="1220" w:type="dxa"/>
            <w:vAlign w:val="bottom"/>
          </w:tcPr>
          <w:p>
            <w:pPr>
              <w:jc w:val="center"/>
              <w:ind w:right="344"/>
              <w:spacing w:after="0" w:line="145" w:lineRule="exact"/>
              <w:rPr>
                <w:sz w:val="20"/>
                <w:szCs w:val="20"/>
                <w:color w:val="auto"/>
              </w:rPr>
            </w:pPr>
            <w:r>
              <w:rPr>
                <w:rFonts w:ascii="Arial" w:cs="Arial" w:eastAsia="Arial" w:hAnsi="Arial"/>
                <w:sz w:val="14"/>
                <w:szCs w:val="14"/>
                <w:b w:val="1"/>
                <w:bCs w:val="1"/>
                <w:color w:val="auto"/>
                <w:w w:val="94"/>
              </w:rPr>
              <w:t>Write-Offs</w:t>
            </w:r>
          </w:p>
        </w:tc>
        <w:tc>
          <w:tcPr>
            <w:tcW w:w="240" w:type="dxa"/>
            <w:vAlign w:val="bottom"/>
          </w:tcPr>
          <w:p>
            <w:pPr>
              <w:spacing w:after="0"/>
              <w:rPr>
                <w:sz w:val="12"/>
                <w:szCs w:val="12"/>
                <w:color w:val="auto"/>
              </w:rPr>
            </w:pPr>
          </w:p>
        </w:tc>
        <w:tc>
          <w:tcPr>
            <w:tcW w:w="1420" w:type="dxa"/>
            <w:vAlign w:val="bottom"/>
          </w:tcPr>
          <w:p>
            <w:pPr>
              <w:jc w:val="right"/>
              <w:ind w:right="163"/>
              <w:spacing w:after="0" w:line="145"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center"/>
              <w:ind w:right="2160"/>
              <w:spacing w:after="0"/>
              <w:rPr>
                <w:sz w:val="20"/>
                <w:szCs w:val="20"/>
                <w:color w:val="auto"/>
              </w:rPr>
            </w:pPr>
            <w:r>
              <w:rPr>
                <w:rFonts w:ascii="Arial" w:cs="Arial" w:eastAsia="Arial" w:hAnsi="Arial"/>
                <w:sz w:val="16"/>
                <w:szCs w:val="16"/>
                <w:b w:val="1"/>
                <w:bCs w:val="1"/>
                <w:color w:val="auto"/>
                <w:w w:val="89"/>
              </w:rPr>
              <w:t>Fiscal Year Ended January 31, 2021</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jc w:val="center"/>
              <w:ind w:right="2120"/>
              <w:spacing w:after="0"/>
              <w:rPr>
                <w:sz w:val="20"/>
                <w:szCs w:val="20"/>
                <w:color w:val="auto"/>
              </w:rPr>
            </w:pPr>
            <w:r>
              <w:rPr>
                <w:rFonts w:ascii="Arial" w:cs="Arial" w:eastAsia="Arial" w:hAnsi="Arial"/>
                <w:sz w:val="16"/>
                <w:szCs w:val="16"/>
                <w:color w:val="auto"/>
                <w:w w:val="87"/>
              </w:rPr>
              <w:t>Partner Program reserves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4"/>
              <w:spacing w:after="0"/>
              <w:rPr>
                <w:sz w:val="20"/>
                <w:szCs w:val="20"/>
                <w:color w:val="auto"/>
              </w:rPr>
            </w:pPr>
            <w:r>
              <w:rPr>
                <w:rFonts w:ascii="Arial" w:cs="Arial" w:eastAsia="Arial" w:hAnsi="Arial"/>
                <w:sz w:val="16"/>
                <w:szCs w:val="16"/>
                <w:color w:val="auto"/>
              </w:rPr>
              <w:t>60.4</w:t>
            </w:r>
          </w:p>
        </w:tc>
        <w:tc>
          <w:tcPr>
            <w:tcW w:w="1940" w:type="dxa"/>
            <w:vAlign w:val="bottom"/>
          </w:tcPr>
          <w:p>
            <w:pPr>
              <w:jc w:val="right"/>
              <w:ind w:right="486"/>
              <w:spacing w:after="0"/>
              <w:rPr>
                <w:sz w:val="20"/>
                <w:szCs w:val="20"/>
                <w:color w:val="auto"/>
              </w:rPr>
            </w:pPr>
            <w:r>
              <w:rPr>
                <w:rFonts w:ascii="Arial" w:cs="Arial" w:eastAsia="Arial" w:hAnsi="Arial"/>
                <w:sz w:val="16"/>
                <w:szCs w:val="16"/>
                <w:color w:val="auto"/>
              </w:rPr>
              <w:t>491.9</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488.3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center"/>
              <w:ind w:right="2160"/>
              <w:spacing w:after="0"/>
              <w:rPr>
                <w:sz w:val="20"/>
                <w:szCs w:val="20"/>
                <w:color w:val="auto"/>
              </w:rPr>
            </w:pPr>
            <w:r>
              <w:rPr>
                <w:rFonts w:ascii="Arial" w:cs="Arial" w:eastAsia="Arial" w:hAnsi="Arial"/>
                <w:sz w:val="16"/>
                <w:szCs w:val="16"/>
                <w:b w:val="1"/>
                <w:bCs w:val="1"/>
                <w:color w:val="auto"/>
                <w:w w:val="89"/>
              </w:rPr>
              <w:t>Fiscal Year Ended January 31, 2020</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jc w:val="center"/>
              <w:ind w:right="2120"/>
              <w:spacing w:after="0"/>
              <w:rPr>
                <w:sz w:val="20"/>
                <w:szCs w:val="20"/>
                <w:color w:val="auto"/>
              </w:rPr>
            </w:pPr>
            <w:r>
              <w:rPr>
                <w:rFonts w:ascii="Arial" w:cs="Arial" w:eastAsia="Arial" w:hAnsi="Arial"/>
                <w:sz w:val="16"/>
                <w:szCs w:val="16"/>
                <w:color w:val="auto"/>
                <w:w w:val="87"/>
              </w:rPr>
              <w:t>Partner Program reserves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4"/>
              <w:spacing w:after="0"/>
              <w:rPr>
                <w:sz w:val="20"/>
                <w:szCs w:val="20"/>
                <w:color w:val="auto"/>
              </w:rPr>
            </w:pPr>
            <w:r>
              <w:rPr>
                <w:rFonts w:ascii="Arial" w:cs="Arial" w:eastAsia="Arial" w:hAnsi="Arial"/>
                <w:sz w:val="16"/>
                <w:szCs w:val="16"/>
                <w:color w:val="auto"/>
              </w:rPr>
              <w:t>51.7</w:t>
            </w:r>
          </w:p>
        </w:tc>
        <w:tc>
          <w:tcPr>
            <w:tcW w:w="1940" w:type="dxa"/>
            <w:vAlign w:val="bottom"/>
          </w:tcPr>
          <w:p>
            <w:pPr>
              <w:jc w:val="right"/>
              <w:ind w:right="486"/>
              <w:spacing w:after="0"/>
              <w:rPr>
                <w:sz w:val="20"/>
                <w:szCs w:val="20"/>
                <w:color w:val="auto"/>
              </w:rPr>
            </w:pPr>
            <w:r>
              <w:rPr>
                <w:rFonts w:ascii="Arial" w:cs="Arial" w:eastAsia="Arial" w:hAnsi="Arial"/>
                <w:sz w:val="16"/>
                <w:szCs w:val="16"/>
                <w:color w:val="auto"/>
              </w:rPr>
              <w:t>453.7</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445.0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 and other facility exit costs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2.1</w:t>
            </w:r>
          </w:p>
        </w:tc>
        <w:tc>
          <w:tcPr>
            <w:tcW w:w="194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rPr>
              <w:t>0.3</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jc w:val="center"/>
              <w:ind w:right="2160"/>
              <w:spacing w:after="0"/>
              <w:rPr>
                <w:sz w:val="20"/>
                <w:szCs w:val="20"/>
                <w:color w:val="auto"/>
              </w:rPr>
            </w:pPr>
            <w:r>
              <w:rPr>
                <w:rFonts w:ascii="Arial" w:cs="Arial" w:eastAsia="Arial" w:hAnsi="Arial"/>
                <w:sz w:val="16"/>
                <w:szCs w:val="16"/>
                <w:b w:val="1"/>
                <w:bCs w:val="1"/>
                <w:color w:val="auto"/>
                <w:w w:val="89"/>
              </w:rPr>
              <w:t>Fiscal Year Ended January 31, 2019</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center"/>
              <w:ind w:right="2120"/>
              <w:spacing w:after="0"/>
              <w:rPr>
                <w:sz w:val="20"/>
                <w:szCs w:val="20"/>
                <w:color w:val="auto"/>
              </w:rPr>
            </w:pPr>
            <w:r>
              <w:rPr>
                <w:rFonts w:ascii="Arial" w:cs="Arial" w:eastAsia="Arial" w:hAnsi="Arial"/>
                <w:sz w:val="16"/>
                <w:szCs w:val="16"/>
                <w:color w:val="auto"/>
                <w:w w:val="87"/>
              </w:rPr>
              <w:t>Partner Program reserves (1)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36.5</w:t>
            </w:r>
          </w:p>
        </w:tc>
        <w:tc>
          <w:tcPr>
            <w:tcW w:w="194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rPr>
              <w:t>294.7</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2"/>
          </w:tcPr>
          <w:p>
            <w:pPr>
              <w:ind w:left="320"/>
              <w:spacing w:after="0"/>
              <w:rPr>
                <w:sz w:val="20"/>
                <w:szCs w:val="20"/>
                <w:color w:val="auto"/>
              </w:rPr>
            </w:pPr>
            <w:r>
              <w:rPr>
                <w:rFonts w:ascii="Arial" w:cs="Arial" w:eastAsia="Arial" w:hAnsi="Arial"/>
                <w:sz w:val="16"/>
                <w:szCs w:val="16"/>
                <w:color w:val="auto"/>
              </w:rPr>
              <w:t>Restructuring and other facility exit costs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4"/>
              <w:spacing w:after="0"/>
              <w:rPr>
                <w:sz w:val="20"/>
                <w:szCs w:val="20"/>
                <w:color w:val="auto"/>
              </w:rPr>
            </w:pPr>
            <w:r>
              <w:rPr>
                <w:rFonts w:ascii="Arial" w:cs="Arial" w:eastAsia="Arial" w:hAnsi="Arial"/>
                <w:sz w:val="16"/>
                <w:szCs w:val="16"/>
                <w:color w:val="auto"/>
              </w:rPr>
              <w:t>57.2</w:t>
            </w:r>
          </w:p>
        </w:tc>
        <w:tc>
          <w:tcPr>
            <w:tcW w:w="1940" w:type="dxa"/>
            <w:vAlign w:val="bottom"/>
          </w:tcPr>
          <w:p>
            <w:pPr>
              <w:jc w:val="right"/>
              <w:ind w:right="486"/>
              <w:spacing w:after="0"/>
              <w:rPr>
                <w:sz w:val="20"/>
                <w:szCs w:val="20"/>
                <w:color w:val="auto"/>
              </w:rPr>
            </w:pPr>
            <w:r>
              <w:rPr>
                <w:rFonts w:ascii="Arial" w:cs="Arial" w:eastAsia="Arial" w:hAnsi="Arial"/>
                <w:sz w:val="16"/>
                <w:szCs w:val="16"/>
                <w:color w:val="auto"/>
              </w:rPr>
              <w:t>41.9</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97.0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400" w:hanging="394"/>
        <w:spacing w:after="0"/>
        <w:tabs>
          <w:tab w:leader="none" w:pos="4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0696D7"/>
        </w:rPr>
        <w:t>ITEM 16</w:t>
      </w:r>
      <w:r>
        <w:rPr>
          <w:sz w:val="20"/>
          <w:szCs w:val="20"/>
          <w:color w:val="auto"/>
        </w:rPr>
        <w:tab/>
      </w:r>
      <w:r>
        <w:rPr>
          <w:rFonts w:ascii="Arial" w:cs="Arial" w:eastAsia="Arial" w:hAnsi="Arial"/>
          <w:sz w:val="16"/>
          <w:szCs w:val="16"/>
          <w:b w:val="1"/>
          <w:bCs w:val="1"/>
          <w:color w:val="0696D7"/>
        </w:rPr>
        <w:t>FORM 10-K SUMMARY</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8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6"/>
              </w:rPr>
              <w:t>Incorporated by Reference</w:t>
            </w:r>
          </w:p>
        </w:tc>
        <w:tc>
          <w:tcPr>
            <w:tcW w:w="1000" w:type="dxa"/>
            <w:vAlign w:val="bottom"/>
            <w:tcBorders>
              <w:bottom w:val="single" w:sz="8" w:color="auto"/>
            </w:tcBorders>
          </w:tcPr>
          <w:p>
            <w:pPr>
              <w:spacing w:after="0"/>
              <w:rPr>
                <w:sz w:val="16"/>
                <w:szCs w:val="16"/>
                <w:color w:val="auto"/>
              </w:rPr>
            </w:pPr>
          </w:p>
        </w:tc>
      </w:tr>
      <w:tr>
        <w:trPr>
          <w:trHeight w:val="18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33"/>
          </w:tcPr>
          <w:p>
            <w:pPr>
              <w:ind w:left="12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SEC File No.</w:t>
            </w: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r>
      <w:tr>
        <w:trPr>
          <w:trHeight w:val="165"/>
        </w:trPr>
        <w:tc>
          <w:tcPr>
            <w:tcW w:w="920" w:type="dxa"/>
            <w:vAlign w:val="bottom"/>
          </w:tcPr>
          <w:p>
            <w:pPr>
              <w:jc w:val="center"/>
              <w:spacing w:after="0" w:line="165" w:lineRule="exact"/>
              <w:rPr>
                <w:sz w:val="20"/>
                <w:szCs w:val="20"/>
                <w:color w:val="auto"/>
              </w:rPr>
            </w:pPr>
            <w:r>
              <w:rPr>
                <w:rFonts w:ascii="Arial" w:cs="Arial" w:eastAsia="Arial" w:hAnsi="Arial"/>
                <w:sz w:val="16"/>
                <w:szCs w:val="16"/>
                <w:color w:val="auto"/>
                <w:w w:val="89"/>
              </w:rPr>
              <w:t>3.1</w:t>
            </w:r>
          </w:p>
        </w:tc>
        <w:tc>
          <w:tcPr>
            <w:tcW w:w="5660" w:type="dxa"/>
            <w:vAlign w:val="bottom"/>
            <w:gridSpan w:val="44"/>
          </w:tcPr>
          <w:p>
            <w:pPr>
              <w:spacing w:after="0" w:line="165" w:lineRule="exact"/>
              <w:rPr>
                <w:rFonts w:ascii="Arial" w:cs="Arial" w:eastAsia="Arial" w:hAnsi="Arial"/>
                <w:sz w:val="16"/>
                <w:szCs w:val="16"/>
                <w:color w:val="0000FF"/>
              </w:rPr>
            </w:pPr>
            <w:hyperlink r:id="rId126">
              <w:r>
                <w:rPr>
                  <w:rFonts w:ascii="Arial" w:cs="Arial" w:eastAsia="Arial" w:hAnsi="Arial"/>
                  <w:sz w:val="16"/>
                  <w:szCs w:val="16"/>
                  <w:color w:val="0000FF"/>
                </w:rPr>
                <w:t>Amended and Restated Certificate of Incorporation of Registrant</w:t>
              </w:r>
            </w:hyperlink>
          </w:p>
        </w:tc>
        <w:tc>
          <w:tcPr>
            <w:tcW w:w="780" w:type="dxa"/>
            <w:vAlign w:val="bottom"/>
          </w:tcPr>
          <w:p>
            <w:pPr>
              <w:spacing w:after="0"/>
              <w:rPr>
                <w:sz w:val="14"/>
                <w:szCs w:val="14"/>
                <w:color w:val="auto"/>
              </w:rPr>
            </w:pPr>
          </w:p>
        </w:tc>
        <w:tc>
          <w:tcPr>
            <w:tcW w:w="820" w:type="dxa"/>
            <w:vAlign w:val="bottom"/>
          </w:tcPr>
          <w:p>
            <w:pPr>
              <w:jc w:val="center"/>
              <w:spacing w:after="0" w:line="165" w:lineRule="exact"/>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line="165" w:lineRule="exact"/>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line="165" w:lineRule="exact"/>
              <w:rPr>
                <w:sz w:val="20"/>
                <w:szCs w:val="20"/>
                <w:color w:val="auto"/>
              </w:rPr>
            </w:pPr>
            <w:r>
              <w:rPr>
                <w:rFonts w:ascii="Arial" w:cs="Arial" w:eastAsia="Arial" w:hAnsi="Arial"/>
                <w:sz w:val="16"/>
                <w:szCs w:val="16"/>
                <w:color w:val="auto"/>
                <w:w w:val="89"/>
              </w:rPr>
              <w:t>3.1</w:t>
            </w:r>
          </w:p>
        </w:tc>
        <w:tc>
          <w:tcPr>
            <w:tcW w:w="1000" w:type="dxa"/>
            <w:vAlign w:val="bottom"/>
          </w:tcPr>
          <w:p>
            <w:pPr>
              <w:jc w:val="center"/>
              <w:spacing w:after="0" w:line="165" w:lineRule="exact"/>
              <w:rPr>
                <w:sz w:val="20"/>
                <w:szCs w:val="20"/>
                <w:color w:val="auto"/>
              </w:rPr>
            </w:pPr>
            <w:r>
              <w:rPr>
                <w:rFonts w:ascii="Arial" w:cs="Arial" w:eastAsia="Arial" w:hAnsi="Arial"/>
                <w:sz w:val="16"/>
                <w:szCs w:val="16"/>
                <w:color w:val="auto"/>
                <w:w w:val="89"/>
              </w:rPr>
              <w:t>3/20/2006</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4100" w:type="dxa"/>
            <w:vAlign w:val="bottom"/>
            <w:tcBorders>
              <w:top w:val="single" w:sz="8" w:color="0000FF"/>
            </w:tcBorders>
            <w:gridSpan w:val="22"/>
          </w:tcPr>
          <w:p>
            <w:pPr>
              <w:spacing w:after="0"/>
              <w:rPr>
                <w:rFonts w:ascii="Arial" w:cs="Arial" w:eastAsia="Arial" w:hAnsi="Arial"/>
                <w:sz w:val="16"/>
                <w:szCs w:val="16"/>
                <w:color w:val="0000FF"/>
              </w:rPr>
            </w:pPr>
            <w:hyperlink r:id="rId127">
              <w:r>
                <w:rPr>
                  <w:rFonts w:ascii="Arial" w:cs="Arial" w:eastAsia="Arial" w:hAnsi="Arial"/>
                  <w:sz w:val="16"/>
                  <w:szCs w:val="16"/>
                  <w:color w:val="0000FF"/>
                </w:rPr>
                <w:t>Amended and Restated Bylaws of Registrant</w:t>
              </w:r>
            </w:hyperlink>
          </w:p>
        </w:tc>
        <w:tc>
          <w:tcPr>
            <w:tcW w:w="1560" w:type="dxa"/>
            <w:vAlign w:val="bottom"/>
            <w:gridSpan w:val="22"/>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3/23/2020</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5660" w:type="dxa"/>
            <w:vAlign w:val="bottom"/>
            <w:gridSpan w:val="44"/>
          </w:tcPr>
          <w:p>
            <w:pPr>
              <w:spacing w:after="0"/>
              <w:rPr>
                <w:rFonts w:ascii="Arial" w:cs="Arial" w:eastAsia="Arial" w:hAnsi="Arial"/>
                <w:sz w:val="16"/>
                <w:szCs w:val="16"/>
                <w:color w:val="0000FF"/>
                <w:w w:val="95"/>
              </w:rPr>
            </w:pPr>
            <w:hyperlink r:id="rId128">
              <w:r>
                <w:rPr>
                  <w:rFonts w:ascii="Arial" w:cs="Arial" w:eastAsia="Arial" w:hAnsi="Arial"/>
                  <w:sz w:val="16"/>
                  <w:szCs w:val="16"/>
                  <w:color w:val="0000FF"/>
                  <w:w w:val="95"/>
                </w:rPr>
                <w:t>Indenture dated December 13, 2012, by and between the Registrant and U.S. Bank</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12/13/2012</w:t>
            </w:r>
          </w:p>
        </w:tc>
      </w:tr>
      <w:tr>
        <w:trPr>
          <w:trHeight w:val="138"/>
        </w:trPr>
        <w:tc>
          <w:tcPr>
            <w:tcW w:w="92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6"/>
          </w:tcPr>
          <w:p>
            <w:pPr>
              <w:spacing w:after="0" w:line="138" w:lineRule="exact"/>
              <w:rPr>
                <w:rFonts w:ascii="Arial" w:cs="Arial" w:eastAsia="Arial" w:hAnsi="Arial"/>
                <w:sz w:val="16"/>
                <w:szCs w:val="16"/>
                <w:color w:val="0000FF"/>
                <w:w w:val="91"/>
              </w:rPr>
            </w:pPr>
            <w:hyperlink r:id="rId128">
              <w:r>
                <w:rPr>
                  <w:rFonts w:ascii="Arial" w:cs="Arial" w:eastAsia="Arial" w:hAnsi="Arial"/>
                  <w:sz w:val="16"/>
                  <w:szCs w:val="16"/>
                  <w:color w:val="0000FF"/>
                  <w:w w:val="91"/>
                </w:rPr>
                <w:t>National Association</w:t>
              </w:r>
            </w:hyperlink>
          </w:p>
        </w:tc>
        <w:tc>
          <w:tcPr>
            <w:tcW w:w="3900" w:type="dxa"/>
            <w:vAlign w:val="bottom"/>
            <w:tcBorders>
              <w:top w:val="single" w:sz="8" w:color="0000FF"/>
            </w:tcBorders>
            <w:gridSpan w:val="26"/>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5660" w:type="dxa"/>
            <w:vAlign w:val="bottom"/>
            <w:gridSpan w:val="44"/>
          </w:tcPr>
          <w:p>
            <w:pPr>
              <w:spacing w:after="0"/>
              <w:rPr>
                <w:rFonts w:ascii="Arial" w:cs="Arial" w:eastAsia="Arial" w:hAnsi="Arial"/>
                <w:sz w:val="16"/>
                <w:szCs w:val="16"/>
                <w:color w:val="0000FF"/>
                <w:w w:val="93"/>
              </w:rPr>
            </w:pPr>
            <w:hyperlink r:id="rId129">
              <w:r>
                <w:rPr>
                  <w:rFonts w:ascii="Arial" w:cs="Arial" w:eastAsia="Arial" w:hAnsi="Arial"/>
                  <w:sz w:val="16"/>
                  <w:szCs w:val="16"/>
                  <w:color w:val="0000FF"/>
                  <w:w w:val="93"/>
                </w:rPr>
                <w:t>First Supplemental Indenture (including Form of Notes) dated December 13, 2012, by</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12/13/2012</w:t>
            </w:r>
          </w:p>
        </w:tc>
      </w:tr>
      <w:tr>
        <w:trPr>
          <w:trHeight w:val="138"/>
        </w:trPr>
        <w:tc>
          <w:tcPr>
            <w:tcW w:w="9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21"/>
          </w:tcPr>
          <w:p>
            <w:pPr>
              <w:spacing w:after="0" w:line="138" w:lineRule="exact"/>
              <w:rPr>
                <w:rFonts w:ascii="Arial" w:cs="Arial" w:eastAsia="Arial" w:hAnsi="Arial"/>
                <w:sz w:val="16"/>
                <w:szCs w:val="16"/>
                <w:color w:val="0000FF"/>
                <w:w w:val="89"/>
              </w:rPr>
            </w:pPr>
            <w:hyperlink r:id="rId129">
              <w:r>
                <w:rPr>
                  <w:rFonts w:ascii="Arial" w:cs="Arial" w:eastAsia="Arial" w:hAnsi="Arial"/>
                  <w:sz w:val="16"/>
                  <w:szCs w:val="16"/>
                  <w:color w:val="0000FF"/>
                  <w:w w:val="89"/>
                </w:rPr>
                <w:t>and between the Registrant and U.S. Bank National Association</w:t>
              </w:r>
            </w:hyperlink>
          </w:p>
        </w:tc>
        <w:tc>
          <w:tcPr>
            <w:tcW w:w="1380" w:type="dxa"/>
            <w:vAlign w:val="bottom"/>
            <w:tcBorders>
              <w:top w:val="single" w:sz="8" w:color="0000FF"/>
            </w:tcBorders>
            <w:gridSpan w:val="1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5660" w:type="dxa"/>
            <w:vAlign w:val="bottom"/>
            <w:gridSpan w:val="44"/>
          </w:tcPr>
          <w:p>
            <w:pPr>
              <w:spacing w:after="0"/>
              <w:rPr>
                <w:rFonts w:ascii="Arial" w:cs="Arial" w:eastAsia="Arial" w:hAnsi="Arial"/>
                <w:sz w:val="16"/>
                <w:szCs w:val="16"/>
                <w:color w:val="0000FF"/>
                <w:w w:val="95"/>
              </w:rPr>
            </w:pPr>
            <w:hyperlink r:id="rId130">
              <w:r>
                <w:rPr>
                  <w:rFonts w:ascii="Arial" w:cs="Arial" w:eastAsia="Arial" w:hAnsi="Arial"/>
                  <w:sz w:val="16"/>
                  <w:szCs w:val="16"/>
                  <w:color w:val="0000FF"/>
                  <w:w w:val="95"/>
                </w:rPr>
                <w:t>Third Supplemental Indenture (including Form of Notes) dated June 8, 2017, by and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6/8/2017</w:t>
            </w:r>
          </w:p>
        </w:tc>
      </w:tr>
      <w:tr>
        <w:trPr>
          <w:trHeight w:val="138"/>
        </w:trPr>
        <w:tc>
          <w:tcPr>
            <w:tcW w:w="920" w:type="dxa"/>
            <w:vAlign w:val="bottom"/>
          </w:tcPr>
          <w:p>
            <w:pPr>
              <w:spacing w:after="0"/>
              <w:rPr>
                <w:sz w:val="12"/>
                <w:szCs w:val="12"/>
                <w:color w:val="auto"/>
              </w:rPr>
            </w:pPr>
          </w:p>
        </w:tc>
        <w:tc>
          <w:tcPr>
            <w:tcW w:w="5360" w:type="dxa"/>
            <w:vAlign w:val="bottom"/>
            <w:tcBorders>
              <w:top w:val="single" w:sz="8" w:color="0000FF"/>
            </w:tcBorders>
            <w:gridSpan w:val="35"/>
          </w:tcPr>
          <w:p>
            <w:pPr>
              <w:spacing w:after="0" w:line="138" w:lineRule="exact"/>
              <w:rPr>
                <w:rFonts w:ascii="Arial" w:cs="Arial" w:eastAsia="Arial" w:hAnsi="Arial"/>
                <w:sz w:val="16"/>
                <w:szCs w:val="16"/>
                <w:color w:val="0000FF"/>
              </w:rPr>
            </w:pPr>
            <w:hyperlink r:id="rId130">
              <w:r>
                <w:rPr>
                  <w:rFonts w:ascii="Arial" w:cs="Arial" w:eastAsia="Arial" w:hAnsi="Arial"/>
                  <w:sz w:val="16"/>
                  <w:szCs w:val="16"/>
                  <w:color w:val="0000FF"/>
                </w:rPr>
                <w:t>between the Registrant and U.S. Bank National Association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5660" w:type="dxa"/>
            <w:vAlign w:val="bottom"/>
            <w:gridSpan w:val="44"/>
          </w:tcPr>
          <w:p>
            <w:pPr>
              <w:spacing w:after="0"/>
              <w:rPr>
                <w:rFonts w:ascii="Arial" w:cs="Arial" w:eastAsia="Arial" w:hAnsi="Arial"/>
                <w:sz w:val="16"/>
                <w:szCs w:val="16"/>
                <w:color w:val="0000FF"/>
                <w:w w:val="93"/>
              </w:rPr>
            </w:pPr>
            <w:hyperlink r:id="rId131">
              <w:r>
                <w:rPr>
                  <w:rFonts w:ascii="Arial" w:cs="Arial" w:eastAsia="Arial" w:hAnsi="Arial"/>
                  <w:sz w:val="16"/>
                  <w:szCs w:val="16"/>
                  <w:color w:val="0000FF"/>
                  <w:w w:val="93"/>
                </w:rPr>
                <w:t>Fourth Supplemental Indenture (including Form of Notes) dated January 14, 2020, by</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1/14/2020</w:t>
            </w:r>
          </w:p>
        </w:tc>
      </w:tr>
      <w:tr>
        <w:trPr>
          <w:trHeight w:val="138"/>
        </w:trPr>
        <w:tc>
          <w:tcPr>
            <w:tcW w:w="9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20"/>
          </w:tcPr>
          <w:p>
            <w:pPr>
              <w:spacing w:after="0" w:line="138" w:lineRule="exact"/>
              <w:rPr>
                <w:rFonts w:ascii="Arial" w:cs="Arial" w:eastAsia="Arial" w:hAnsi="Arial"/>
                <w:sz w:val="16"/>
                <w:szCs w:val="16"/>
                <w:color w:val="0000FF"/>
                <w:w w:val="89"/>
              </w:rPr>
            </w:pPr>
            <w:hyperlink r:id="rId131">
              <w:r>
                <w:rPr>
                  <w:rFonts w:ascii="Arial" w:cs="Arial" w:eastAsia="Arial" w:hAnsi="Arial"/>
                  <w:sz w:val="16"/>
                  <w:szCs w:val="16"/>
                  <w:color w:val="0000FF"/>
                  <w:w w:val="89"/>
                </w:rPr>
                <w:t>and between the Registrant and U.S. National Bank Association</w:t>
              </w:r>
            </w:hyperlink>
          </w:p>
        </w:tc>
        <w:tc>
          <w:tcPr>
            <w:tcW w:w="1380" w:type="dxa"/>
            <w:vAlign w:val="bottom"/>
            <w:tcBorders>
              <w:top w:val="single" w:sz="8" w:color="0000FF"/>
            </w:tcBorders>
            <w:gridSpan w:val="19"/>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5660" w:type="dxa"/>
            <w:vAlign w:val="bottom"/>
            <w:gridSpan w:val="44"/>
          </w:tcPr>
          <w:p>
            <w:pPr>
              <w:spacing w:after="0"/>
              <w:rPr>
                <w:rFonts w:ascii="Arial" w:cs="Arial" w:eastAsia="Arial" w:hAnsi="Arial"/>
                <w:sz w:val="16"/>
                <w:szCs w:val="16"/>
                <w:color w:val="0000FF"/>
              </w:rPr>
            </w:pPr>
            <w:hyperlink r:id="rId132">
              <w:r>
                <w:rPr>
                  <w:rFonts w:ascii="Arial" w:cs="Arial" w:eastAsia="Arial" w:hAnsi="Arial"/>
                  <w:sz w:val="16"/>
                  <w:szCs w:val="16"/>
                  <w:color w:val="0000FF"/>
                </w:rPr>
                <w:t>Description of Registrant's Capital Stock</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3/19/2020</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5660" w:type="dxa"/>
            <w:vAlign w:val="bottom"/>
            <w:gridSpan w:val="44"/>
          </w:tcPr>
          <w:p>
            <w:pPr>
              <w:spacing w:after="0"/>
              <w:rPr>
                <w:rFonts w:ascii="Arial" w:cs="Arial" w:eastAsia="Arial" w:hAnsi="Arial"/>
                <w:sz w:val="16"/>
                <w:szCs w:val="16"/>
                <w:color w:val="0000FF"/>
              </w:rPr>
            </w:pPr>
            <w:hyperlink r:id="rId133">
              <w:r>
                <w:rPr>
                  <w:rFonts w:ascii="Arial" w:cs="Arial" w:eastAsia="Arial" w:hAnsi="Arial"/>
                  <w:sz w:val="16"/>
                  <w:szCs w:val="16"/>
                  <w:color w:val="0000FF"/>
                </w:rPr>
                <w:t>Description of Registrant's Performance Stock Unit Program</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3/26/2018</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5660" w:type="dxa"/>
            <w:vAlign w:val="bottom"/>
            <w:gridSpan w:val="44"/>
          </w:tcPr>
          <w:p>
            <w:pPr>
              <w:spacing w:after="0"/>
              <w:rPr>
                <w:rFonts w:ascii="Arial" w:cs="Arial" w:eastAsia="Arial" w:hAnsi="Arial"/>
                <w:sz w:val="16"/>
                <w:szCs w:val="16"/>
                <w:color w:val="0000FF"/>
                <w:w w:val="92"/>
              </w:rPr>
            </w:pPr>
            <w:hyperlink r:id="rId134">
              <w:r>
                <w:rPr>
                  <w:rFonts w:ascii="Arial" w:cs="Arial" w:eastAsia="Arial" w:hAnsi="Arial"/>
                  <w:sz w:val="16"/>
                  <w:szCs w:val="16"/>
                  <w:color w:val="0000FF"/>
                  <w:w w:val="92"/>
                </w:rPr>
                <w:t>Registrant’s 1998 Employee Qualified Stock Purchase Plan, as amended and restated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8/30/2018</w:t>
            </w:r>
          </w:p>
        </w:tc>
      </w:tr>
      <w:tr>
        <w:trPr>
          <w:trHeight w:val="138"/>
        </w:trPr>
        <w:tc>
          <w:tcPr>
            <w:tcW w:w="920" w:type="dxa"/>
            <w:vAlign w:val="bottom"/>
          </w:tcPr>
          <w:p>
            <w:pPr>
              <w:spacing w:after="0"/>
              <w:rPr>
                <w:sz w:val="12"/>
                <w:szCs w:val="12"/>
                <w:color w:val="auto"/>
              </w:rPr>
            </w:pPr>
          </w:p>
        </w:tc>
        <w:tc>
          <w:tcPr>
            <w:tcW w:w="1820" w:type="dxa"/>
            <w:vAlign w:val="bottom"/>
            <w:tcBorders>
              <w:top w:val="single" w:sz="8" w:color="0000FF"/>
              <w:bottom w:val="single" w:sz="8" w:color="0000FF"/>
            </w:tcBorders>
            <w:gridSpan w:val="9"/>
          </w:tcPr>
          <w:p>
            <w:pPr>
              <w:spacing w:after="0" w:line="138" w:lineRule="exact"/>
              <w:rPr>
                <w:rFonts w:ascii="Arial" w:cs="Arial" w:eastAsia="Arial" w:hAnsi="Arial"/>
                <w:sz w:val="16"/>
                <w:szCs w:val="16"/>
                <w:color w:val="0000FF"/>
                <w:w w:val="87"/>
              </w:rPr>
            </w:pPr>
            <w:hyperlink r:id="rId134">
              <w:r>
                <w:rPr>
                  <w:rFonts w:ascii="Arial" w:cs="Arial" w:eastAsia="Arial" w:hAnsi="Arial"/>
                  <w:sz w:val="16"/>
                  <w:szCs w:val="16"/>
                  <w:color w:val="0000FF"/>
                  <w:w w:val="87"/>
                </w:rPr>
                <w:t>effective as of June 12, 2018</w:t>
              </w:r>
            </w:hyperlink>
          </w:p>
        </w:tc>
        <w:tc>
          <w:tcPr>
            <w:tcW w:w="356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5660" w:type="dxa"/>
            <w:vAlign w:val="bottom"/>
            <w:gridSpan w:val="44"/>
          </w:tcPr>
          <w:p>
            <w:pPr>
              <w:spacing w:after="0"/>
              <w:rPr>
                <w:rFonts w:ascii="Arial" w:cs="Arial" w:eastAsia="Arial" w:hAnsi="Arial"/>
                <w:sz w:val="16"/>
                <w:szCs w:val="16"/>
                <w:color w:val="0000FF"/>
                <w:w w:val="97"/>
              </w:rPr>
            </w:pPr>
            <w:hyperlink r:id="rId135">
              <w:r>
                <w:rPr>
                  <w:rFonts w:ascii="Arial" w:cs="Arial" w:eastAsia="Arial" w:hAnsi="Arial"/>
                  <w:sz w:val="16"/>
                  <w:szCs w:val="16"/>
                  <w:color w:val="0000FF"/>
                  <w:w w:val="97"/>
                </w:rPr>
                <w:t>Registrant’s 1998 Employee Qualified Stock Purchase Plan Forms of Subscription</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8/30/2016</w:t>
            </w:r>
          </w:p>
        </w:tc>
      </w:tr>
      <w:tr>
        <w:trPr>
          <w:trHeight w:val="138"/>
        </w:trPr>
        <w:tc>
          <w:tcPr>
            <w:tcW w:w="920" w:type="dxa"/>
            <w:vAlign w:val="bottom"/>
          </w:tcPr>
          <w:p>
            <w:pPr>
              <w:spacing w:after="0"/>
              <w:rPr>
                <w:sz w:val="12"/>
                <w:szCs w:val="12"/>
                <w:color w:val="auto"/>
              </w:rPr>
            </w:pPr>
          </w:p>
        </w:tc>
        <w:tc>
          <w:tcPr>
            <w:tcW w:w="5220" w:type="dxa"/>
            <w:vAlign w:val="bottom"/>
            <w:tcBorders>
              <w:top w:val="single" w:sz="8" w:color="0000FF"/>
            </w:tcBorders>
            <w:gridSpan w:val="31"/>
          </w:tcPr>
          <w:p>
            <w:pPr>
              <w:spacing w:after="0" w:line="138" w:lineRule="exact"/>
              <w:rPr>
                <w:rFonts w:ascii="Arial" w:cs="Arial" w:eastAsia="Arial" w:hAnsi="Arial"/>
                <w:sz w:val="16"/>
                <w:szCs w:val="16"/>
                <w:color w:val="0000FF"/>
              </w:rPr>
            </w:pPr>
            <w:hyperlink r:id="rId135">
              <w:r>
                <w:rPr>
                  <w:rFonts w:ascii="Arial" w:cs="Arial" w:eastAsia="Arial" w:hAnsi="Arial"/>
                  <w:sz w:val="16"/>
                  <w:szCs w:val="16"/>
                  <w:color w:val="0000FF"/>
                </w:rPr>
                <w:t>Agreement, as amended and restated</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5660" w:type="dxa"/>
            <w:vAlign w:val="bottom"/>
            <w:gridSpan w:val="44"/>
          </w:tcPr>
          <w:p>
            <w:pPr>
              <w:spacing w:after="0"/>
              <w:rPr>
                <w:rFonts w:ascii="Arial" w:cs="Arial" w:eastAsia="Arial" w:hAnsi="Arial"/>
                <w:sz w:val="16"/>
                <w:szCs w:val="16"/>
                <w:color w:val="0000FF"/>
                <w:w w:val="91"/>
              </w:rPr>
            </w:pPr>
            <w:hyperlink r:id="rId136">
              <w:r>
                <w:rPr>
                  <w:rFonts w:ascii="Arial" w:cs="Arial" w:eastAsia="Arial" w:hAnsi="Arial"/>
                  <w:sz w:val="16"/>
                  <w:szCs w:val="16"/>
                  <w:color w:val="0000FF"/>
                  <w:w w:val="91"/>
                </w:rPr>
                <w:t>Registrant's 2012 Employee Stock Plan, as amended and restated effective as of June</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8/30/2018</w:t>
            </w:r>
          </w:p>
        </w:tc>
      </w:tr>
      <w:tr>
        <w:trPr>
          <w:trHeight w:val="138"/>
        </w:trPr>
        <w:tc>
          <w:tcPr>
            <w:tcW w:w="9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6"/>
              </w:rPr>
            </w:pPr>
            <w:hyperlink r:id="rId136">
              <w:r>
                <w:rPr>
                  <w:rFonts w:ascii="Arial" w:cs="Arial" w:eastAsia="Arial" w:hAnsi="Arial"/>
                  <w:sz w:val="16"/>
                  <w:szCs w:val="16"/>
                  <w:color w:val="0000FF"/>
                  <w:w w:val="86"/>
                </w:rPr>
                <w:t>12, 2018</w:t>
              </w:r>
            </w:hyperlink>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5660" w:type="dxa"/>
            <w:vAlign w:val="bottom"/>
            <w:gridSpan w:val="44"/>
          </w:tcPr>
          <w:p>
            <w:pPr>
              <w:spacing w:after="0"/>
              <w:rPr>
                <w:rFonts w:ascii="Arial" w:cs="Arial" w:eastAsia="Arial" w:hAnsi="Arial"/>
                <w:sz w:val="16"/>
                <w:szCs w:val="16"/>
                <w:color w:val="0000FF"/>
                <w:w w:val="93"/>
              </w:rPr>
            </w:pPr>
            <w:hyperlink r:id="rId137">
              <w:r>
                <w:rPr>
                  <w:rFonts w:ascii="Arial" w:cs="Arial" w:eastAsia="Arial" w:hAnsi="Arial"/>
                  <w:sz w:val="16"/>
                  <w:szCs w:val="16"/>
                  <w:color w:val="0000FF"/>
                  <w:w w:val="93"/>
                </w:rPr>
                <w:t>Registrant's 2012 Employee Stock Plan Form of Restricted Stock Unit Agreement, as</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8/30/2016</w:t>
            </w:r>
          </w:p>
        </w:tc>
      </w:tr>
      <w:tr>
        <w:trPr>
          <w:trHeight w:val="138"/>
        </w:trPr>
        <w:tc>
          <w:tcPr>
            <w:tcW w:w="92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7"/>
          </w:tcPr>
          <w:p>
            <w:pPr>
              <w:spacing w:after="0" w:line="138" w:lineRule="exact"/>
              <w:rPr>
                <w:rFonts w:ascii="Arial" w:cs="Arial" w:eastAsia="Arial" w:hAnsi="Arial"/>
                <w:sz w:val="16"/>
                <w:szCs w:val="16"/>
                <w:color w:val="0000FF"/>
                <w:w w:val="84"/>
              </w:rPr>
            </w:pPr>
            <w:hyperlink r:id="rId137">
              <w:r>
                <w:rPr>
                  <w:rFonts w:ascii="Arial" w:cs="Arial" w:eastAsia="Arial" w:hAnsi="Arial"/>
                  <w:sz w:val="16"/>
                  <w:szCs w:val="16"/>
                  <w:color w:val="0000FF"/>
                  <w:w w:val="84"/>
                </w:rPr>
                <w:t>amended and restated</w:t>
              </w:r>
            </w:hyperlink>
          </w:p>
        </w:tc>
        <w:tc>
          <w:tcPr>
            <w:tcW w:w="4040" w:type="dxa"/>
            <w:vAlign w:val="bottom"/>
            <w:tcBorders>
              <w:top w:val="single" w:sz="8" w:color="0000FF"/>
            </w:tcBorders>
            <w:gridSpan w:val="31"/>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5660" w:type="dxa"/>
            <w:vAlign w:val="bottom"/>
            <w:gridSpan w:val="44"/>
          </w:tcPr>
          <w:p>
            <w:pPr>
              <w:spacing w:after="0"/>
              <w:rPr>
                <w:rFonts w:ascii="Arial" w:cs="Arial" w:eastAsia="Arial" w:hAnsi="Arial"/>
                <w:sz w:val="16"/>
                <w:szCs w:val="16"/>
                <w:color w:val="0000FF"/>
                <w:w w:val="98"/>
              </w:rPr>
            </w:pPr>
            <w:hyperlink r:id="rId138">
              <w:r>
                <w:rPr>
                  <w:rFonts w:ascii="Arial" w:cs="Arial" w:eastAsia="Arial" w:hAnsi="Arial"/>
                  <w:sz w:val="16"/>
                  <w:szCs w:val="16"/>
                  <w:color w:val="0000FF"/>
                  <w:w w:val="98"/>
                </w:rPr>
                <w:t>Registrant's 2012 Employee Stock Plan Form of Severance Restricted Stock Unit</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8/30/2016</w:t>
            </w:r>
          </w:p>
        </w:tc>
      </w:tr>
      <w:tr>
        <w:trPr>
          <w:trHeight w:val="138"/>
        </w:trPr>
        <w:tc>
          <w:tcPr>
            <w:tcW w:w="920" w:type="dxa"/>
            <w:vAlign w:val="bottom"/>
          </w:tcPr>
          <w:p>
            <w:pPr>
              <w:spacing w:after="0"/>
              <w:rPr>
                <w:sz w:val="12"/>
                <w:szCs w:val="12"/>
                <w:color w:val="auto"/>
              </w:rPr>
            </w:pPr>
          </w:p>
        </w:tc>
        <w:tc>
          <w:tcPr>
            <w:tcW w:w="5140" w:type="dxa"/>
            <w:vAlign w:val="bottom"/>
            <w:tcBorders>
              <w:top w:val="single" w:sz="8" w:color="0000FF"/>
            </w:tcBorders>
            <w:gridSpan w:val="28"/>
          </w:tcPr>
          <w:p>
            <w:pPr>
              <w:spacing w:after="0" w:line="138" w:lineRule="exact"/>
              <w:rPr>
                <w:rFonts w:ascii="Arial" w:cs="Arial" w:eastAsia="Arial" w:hAnsi="Arial"/>
                <w:sz w:val="16"/>
                <w:szCs w:val="16"/>
                <w:color w:val="0000FF"/>
              </w:rPr>
            </w:pPr>
            <w:hyperlink r:id="rId138">
              <w:r>
                <w:rPr>
                  <w:rFonts w:ascii="Arial" w:cs="Arial" w:eastAsia="Arial" w:hAnsi="Arial"/>
                  <w:sz w:val="16"/>
                  <w:szCs w:val="16"/>
                  <w:color w:val="0000FF"/>
                </w:rPr>
                <w:t>Agreement, as amended and restated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4680" w:type="dxa"/>
            <w:vAlign w:val="bottom"/>
            <w:tcBorders>
              <w:bottom w:val="single" w:sz="8" w:color="0000FF"/>
            </w:tcBorders>
            <w:gridSpan w:val="25"/>
          </w:tcPr>
          <w:p>
            <w:pPr>
              <w:spacing w:after="0"/>
              <w:rPr>
                <w:rFonts w:ascii="Arial" w:cs="Arial" w:eastAsia="Arial" w:hAnsi="Arial"/>
                <w:sz w:val="16"/>
                <w:szCs w:val="16"/>
                <w:color w:val="0000FF"/>
                <w:w w:val="89"/>
              </w:rPr>
            </w:pPr>
            <w:hyperlink r:id="rId139">
              <w:r>
                <w:rPr>
                  <w:rFonts w:ascii="Arial" w:cs="Arial" w:eastAsia="Arial" w:hAnsi="Arial"/>
                  <w:sz w:val="16"/>
                  <w:szCs w:val="16"/>
                  <w:color w:val="0000FF"/>
                  <w:w w:val="89"/>
                </w:rPr>
                <w:t>Registrant's 2012 Employee Stock Plan Form of Stock Option Agreement</w:t>
              </w:r>
            </w:hyperlink>
          </w:p>
        </w:tc>
        <w:tc>
          <w:tcPr>
            <w:tcW w:w="980" w:type="dxa"/>
            <w:vAlign w:val="bottom"/>
            <w:gridSpan w:val="19"/>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3/13/2012</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5660" w:type="dxa"/>
            <w:vAlign w:val="bottom"/>
            <w:gridSpan w:val="44"/>
          </w:tcPr>
          <w:p>
            <w:pPr>
              <w:spacing w:after="0"/>
              <w:rPr>
                <w:rFonts w:ascii="Arial" w:cs="Arial" w:eastAsia="Arial" w:hAnsi="Arial"/>
                <w:sz w:val="16"/>
                <w:szCs w:val="16"/>
                <w:color w:val="0000FF"/>
                <w:w w:val="95"/>
              </w:rPr>
            </w:pPr>
            <w:hyperlink r:id="rId140">
              <w:r>
                <w:rPr>
                  <w:rFonts w:ascii="Arial" w:cs="Arial" w:eastAsia="Arial" w:hAnsi="Arial"/>
                  <w:sz w:val="16"/>
                  <w:szCs w:val="16"/>
                  <w:color w:val="0000FF"/>
                  <w:w w:val="95"/>
                </w:rPr>
                <w:t>Registrant's 2012 Employee Stock Plan Form of Stock Option Agreement (non-U.S.</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3/13/2012</w:t>
            </w:r>
          </w:p>
        </w:tc>
      </w:tr>
      <w:tr>
        <w:trPr>
          <w:trHeight w:val="138"/>
        </w:trPr>
        <w:tc>
          <w:tcPr>
            <w:tcW w:w="9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3"/>
          </w:tcPr>
          <w:p>
            <w:pPr>
              <w:spacing w:after="0" w:line="138" w:lineRule="exact"/>
              <w:rPr>
                <w:rFonts w:ascii="Arial" w:cs="Arial" w:eastAsia="Arial" w:hAnsi="Arial"/>
                <w:sz w:val="16"/>
                <w:szCs w:val="16"/>
                <w:color w:val="0000FF"/>
                <w:w w:val="87"/>
              </w:rPr>
            </w:pPr>
            <w:hyperlink r:id="rId140">
              <w:r>
                <w:rPr>
                  <w:rFonts w:ascii="Arial" w:cs="Arial" w:eastAsia="Arial" w:hAnsi="Arial"/>
                  <w:sz w:val="16"/>
                  <w:szCs w:val="16"/>
                  <w:color w:val="0000FF"/>
                  <w:w w:val="87"/>
                </w:rPr>
                <w:t>Employees)</w:t>
              </w:r>
            </w:hyperlink>
          </w:p>
        </w:tc>
        <w:tc>
          <w:tcPr>
            <w:tcW w:w="4580" w:type="dxa"/>
            <w:vAlign w:val="bottom"/>
            <w:tcBorders>
              <w:top w:val="single" w:sz="8" w:color="0000FF"/>
            </w:tcBorders>
            <w:gridSpan w:val="31"/>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660" w:type="dxa"/>
            <w:vAlign w:val="bottom"/>
            <w:tcBorders>
              <w:bottom w:val="single" w:sz="8" w:color="0000FF"/>
            </w:tcBorders>
            <w:gridSpan w:val="13"/>
          </w:tcPr>
          <w:p>
            <w:pPr>
              <w:spacing w:after="0"/>
              <w:rPr>
                <w:rFonts w:ascii="Arial" w:cs="Arial" w:eastAsia="Arial" w:hAnsi="Arial"/>
                <w:sz w:val="16"/>
                <w:szCs w:val="16"/>
                <w:color w:val="0000FF"/>
                <w:w w:val="90"/>
              </w:rPr>
            </w:pPr>
            <w:hyperlink r:id="rId141">
              <w:r>
                <w:rPr>
                  <w:rFonts w:ascii="Arial" w:cs="Arial" w:eastAsia="Arial" w:hAnsi="Arial"/>
                  <w:sz w:val="16"/>
                  <w:szCs w:val="16"/>
                  <w:color w:val="0000FF"/>
                  <w:w w:val="90"/>
                </w:rPr>
                <w:t>PlanGrid, Inc. 2012 Equity Incentive Plan</w:t>
              </w:r>
            </w:hyperlink>
          </w:p>
        </w:tc>
        <w:tc>
          <w:tcPr>
            <w:tcW w:w="3000" w:type="dxa"/>
            <w:vAlign w:val="bottom"/>
            <w:gridSpan w:val="31"/>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333-228934</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12/21/2018</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4140" w:type="dxa"/>
            <w:vAlign w:val="bottom"/>
            <w:tcBorders>
              <w:bottom w:val="single" w:sz="8" w:color="0000FF"/>
            </w:tcBorders>
            <w:gridSpan w:val="23"/>
          </w:tcPr>
          <w:p>
            <w:pPr>
              <w:spacing w:after="0"/>
              <w:rPr>
                <w:rFonts w:ascii="Arial" w:cs="Arial" w:eastAsia="Arial" w:hAnsi="Arial"/>
                <w:sz w:val="16"/>
                <w:szCs w:val="16"/>
                <w:color w:val="0000FF"/>
                <w:w w:val="89"/>
              </w:rPr>
            </w:pPr>
            <w:hyperlink r:id="rId142">
              <w:r>
                <w:rPr>
                  <w:rFonts w:ascii="Arial" w:cs="Arial" w:eastAsia="Arial" w:hAnsi="Arial"/>
                  <w:sz w:val="16"/>
                  <w:szCs w:val="16"/>
                  <w:color w:val="0000FF"/>
                  <w:w w:val="89"/>
                </w:rPr>
                <w:t>Amended and Restated BuildingConnected, Inc. 2013 Stock Plan</w:t>
              </w:r>
            </w:hyperlink>
          </w:p>
        </w:tc>
        <w:tc>
          <w:tcPr>
            <w:tcW w:w="1520" w:type="dxa"/>
            <w:vAlign w:val="bottom"/>
            <w:gridSpan w:val="21"/>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333-229346</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1/24/2019</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0"/>
              </w:rPr>
              <w:t>10.11*</w:t>
            </w:r>
          </w:p>
        </w:tc>
        <w:tc>
          <w:tcPr>
            <w:tcW w:w="5660" w:type="dxa"/>
            <w:vAlign w:val="bottom"/>
            <w:gridSpan w:val="44"/>
          </w:tcPr>
          <w:p>
            <w:pPr>
              <w:spacing w:after="0"/>
              <w:rPr>
                <w:rFonts w:ascii="Arial" w:cs="Arial" w:eastAsia="Arial" w:hAnsi="Arial"/>
                <w:sz w:val="16"/>
                <w:szCs w:val="16"/>
                <w:color w:val="0000FF"/>
              </w:rPr>
            </w:pPr>
            <w:hyperlink r:id="rId143">
              <w:r>
                <w:rPr>
                  <w:rFonts w:ascii="Arial" w:cs="Arial" w:eastAsia="Arial" w:hAnsi="Arial"/>
                  <w:sz w:val="16"/>
                  <w:szCs w:val="16"/>
                  <w:color w:val="0000FF"/>
                </w:rPr>
                <w:t>Registrant's 2012 Outside Directors' Stock Plan, as amended and restated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3/21/2017</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5660" w:type="dxa"/>
            <w:vAlign w:val="bottom"/>
            <w:gridSpan w:val="44"/>
          </w:tcPr>
          <w:p>
            <w:pPr>
              <w:spacing w:after="0"/>
              <w:rPr>
                <w:rFonts w:ascii="Arial" w:cs="Arial" w:eastAsia="Arial" w:hAnsi="Arial"/>
                <w:sz w:val="16"/>
                <w:szCs w:val="16"/>
                <w:color w:val="0000FF"/>
              </w:rPr>
            </w:pPr>
            <w:hyperlink r:id="rId144">
              <w:r>
                <w:rPr>
                  <w:rFonts w:ascii="Arial" w:cs="Arial" w:eastAsia="Arial" w:hAnsi="Arial"/>
                  <w:sz w:val="16"/>
                  <w:szCs w:val="16"/>
                  <w:color w:val="0000FF"/>
                </w:rPr>
                <w:t>Registrant's 2012 Outside Directors' Stock Plan Form of Restricted Stock Unit</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3/13/2012</w:t>
            </w:r>
          </w:p>
        </w:tc>
      </w:tr>
      <w:tr>
        <w:trPr>
          <w:trHeight w:val="138"/>
        </w:trPr>
        <w:tc>
          <w:tcPr>
            <w:tcW w:w="920" w:type="dxa"/>
            <w:vAlign w:val="bottom"/>
          </w:tcPr>
          <w:p>
            <w:pPr>
              <w:spacing w:after="0"/>
              <w:rPr>
                <w:sz w:val="12"/>
                <w:szCs w:val="12"/>
                <w:color w:val="auto"/>
              </w:rPr>
            </w:pPr>
          </w:p>
        </w:tc>
        <w:tc>
          <w:tcPr>
            <w:tcW w:w="4960" w:type="dxa"/>
            <w:vAlign w:val="bottom"/>
            <w:tcBorders>
              <w:top w:val="single" w:sz="8" w:color="0000FF"/>
            </w:tcBorders>
            <w:gridSpan w:val="26"/>
          </w:tcPr>
          <w:p>
            <w:pPr>
              <w:spacing w:after="0" w:line="138" w:lineRule="exact"/>
              <w:rPr>
                <w:rFonts w:ascii="Arial" w:cs="Arial" w:eastAsia="Arial" w:hAnsi="Arial"/>
                <w:sz w:val="16"/>
                <w:szCs w:val="16"/>
                <w:color w:val="0000FF"/>
              </w:rPr>
            </w:pPr>
            <w:hyperlink r:id="rId144">
              <w:r>
                <w:rPr>
                  <w:rFonts w:ascii="Arial" w:cs="Arial" w:eastAsia="Arial" w:hAnsi="Arial"/>
                  <w:sz w:val="16"/>
                  <w:szCs w:val="16"/>
                  <w:color w:val="0000FF"/>
                </w:rPr>
                <w:t>Agreement</w:t>
              </w:r>
            </w:hyperlink>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5660" w:type="dxa"/>
            <w:vAlign w:val="bottom"/>
            <w:gridSpan w:val="44"/>
          </w:tcPr>
          <w:p>
            <w:pPr>
              <w:spacing w:after="0"/>
              <w:rPr>
                <w:rFonts w:ascii="Arial" w:cs="Arial" w:eastAsia="Arial" w:hAnsi="Arial"/>
                <w:sz w:val="16"/>
                <w:szCs w:val="16"/>
                <w:color w:val="0000FF"/>
              </w:rPr>
            </w:pPr>
            <w:hyperlink r:id="rId145">
              <w:r>
                <w:rPr>
                  <w:rFonts w:ascii="Arial" w:cs="Arial" w:eastAsia="Arial" w:hAnsi="Arial"/>
                  <w:sz w:val="16"/>
                  <w:szCs w:val="16"/>
                  <w:color w:val="0000FF"/>
                </w:rPr>
                <w:t>Registrant's 2012 Outside Directors' Stock Plan Form of Restricted Stock Unit</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6/4/2019</w:t>
            </w:r>
          </w:p>
        </w:tc>
      </w:tr>
      <w:tr>
        <w:trPr>
          <w:trHeight w:val="138"/>
        </w:trPr>
        <w:tc>
          <w:tcPr>
            <w:tcW w:w="920" w:type="dxa"/>
            <w:vAlign w:val="bottom"/>
          </w:tcPr>
          <w:p>
            <w:pPr>
              <w:spacing w:after="0"/>
              <w:rPr>
                <w:sz w:val="12"/>
                <w:szCs w:val="12"/>
                <w:color w:val="auto"/>
              </w:rPr>
            </w:pPr>
          </w:p>
        </w:tc>
        <w:tc>
          <w:tcPr>
            <w:tcW w:w="4960" w:type="dxa"/>
            <w:vAlign w:val="bottom"/>
            <w:tcBorders>
              <w:top w:val="single" w:sz="8" w:color="0000FF"/>
            </w:tcBorders>
            <w:gridSpan w:val="26"/>
          </w:tcPr>
          <w:p>
            <w:pPr>
              <w:spacing w:after="0" w:line="138" w:lineRule="exact"/>
              <w:rPr>
                <w:rFonts w:ascii="Arial" w:cs="Arial" w:eastAsia="Arial" w:hAnsi="Arial"/>
                <w:sz w:val="16"/>
                <w:szCs w:val="16"/>
                <w:color w:val="0000FF"/>
              </w:rPr>
            </w:pPr>
            <w:hyperlink r:id="rId145">
              <w:r>
                <w:rPr>
                  <w:rFonts w:ascii="Arial" w:cs="Arial" w:eastAsia="Arial" w:hAnsi="Arial"/>
                  <w:sz w:val="16"/>
                  <w:szCs w:val="16"/>
                  <w:color w:val="0000FF"/>
                </w:rPr>
                <w:t>Agreement</w:t>
              </w:r>
            </w:hyperlink>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4000" w:type="dxa"/>
            <w:vAlign w:val="bottom"/>
            <w:tcBorders>
              <w:bottom w:val="single" w:sz="8" w:color="0000FF"/>
            </w:tcBorders>
            <w:gridSpan w:val="18"/>
          </w:tcPr>
          <w:p>
            <w:pPr>
              <w:spacing w:after="0"/>
              <w:rPr>
                <w:rFonts w:ascii="Arial" w:cs="Arial" w:eastAsia="Arial" w:hAnsi="Arial"/>
                <w:sz w:val="16"/>
                <w:szCs w:val="16"/>
                <w:color w:val="0000FF"/>
                <w:w w:val="87"/>
              </w:rPr>
            </w:pPr>
            <w:hyperlink r:id="rId146">
              <w:r>
                <w:rPr>
                  <w:rFonts w:ascii="Arial" w:cs="Arial" w:eastAsia="Arial" w:hAnsi="Arial"/>
                  <w:sz w:val="16"/>
                  <w:szCs w:val="16"/>
                  <w:color w:val="0000FF"/>
                  <w:w w:val="87"/>
                </w:rPr>
                <w:t>Registrant’s Executive Incentive Plan, as amended and restated</w:t>
              </w:r>
            </w:hyperlink>
          </w:p>
        </w:tc>
        <w:tc>
          <w:tcPr>
            <w:tcW w:w="1660" w:type="dxa"/>
            <w:vAlign w:val="bottom"/>
            <w:gridSpan w:val="26"/>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3/23/2016</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5660" w:type="dxa"/>
            <w:vAlign w:val="bottom"/>
            <w:gridSpan w:val="44"/>
          </w:tcPr>
          <w:p>
            <w:pPr>
              <w:spacing w:after="0"/>
              <w:rPr>
                <w:rFonts w:ascii="Arial" w:cs="Arial" w:eastAsia="Arial" w:hAnsi="Arial"/>
                <w:sz w:val="16"/>
                <w:szCs w:val="16"/>
                <w:color w:val="0000FF"/>
                <w:w w:val="99"/>
              </w:rPr>
            </w:pPr>
            <w:hyperlink r:id="rId147">
              <w:r>
                <w:rPr>
                  <w:rFonts w:ascii="Arial" w:cs="Arial" w:eastAsia="Arial" w:hAnsi="Arial"/>
                  <w:sz w:val="16"/>
                  <w:szCs w:val="16"/>
                  <w:color w:val="0000FF"/>
                  <w:w w:val="99"/>
                </w:rPr>
                <w:t>Registrant’s 2005 Non-Qualified Deferred Compensation Plan, as amended and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12/8/2009</w:t>
            </w:r>
          </w:p>
        </w:tc>
      </w:tr>
      <w:tr>
        <w:trPr>
          <w:trHeight w:val="138"/>
        </w:trPr>
        <w:tc>
          <w:tcPr>
            <w:tcW w:w="9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12"/>
          </w:tcPr>
          <w:p>
            <w:pPr>
              <w:spacing w:after="0" w:line="138" w:lineRule="exact"/>
              <w:rPr>
                <w:rFonts w:ascii="Arial" w:cs="Arial" w:eastAsia="Arial" w:hAnsi="Arial"/>
                <w:sz w:val="16"/>
                <w:szCs w:val="16"/>
                <w:color w:val="0000FF"/>
                <w:w w:val="89"/>
              </w:rPr>
            </w:pPr>
            <w:hyperlink r:id="rId147">
              <w:r>
                <w:rPr>
                  <w:rFonts w:ascii="Arial" w:cs="Arial" w:eastAsia="Arial" w:hAnsi="Arial"/>
                  <w:sz w:val="16"/>
                  <w:szCs w:val="16"/>
                  <w:color w:val="0000FF"/>
                  <w:w w:val="89"/>
                </w:rPr>
                <w:t>restated, effective as of January 1, 2010</w:t>
              </w:r>
            </w:hyperlink>
          </w:p>
        </w:tc>
        <w:tc>
          <w:tcPr>
            <w:tcW w:w="2460" w:type="dxa"/>
            <w:vAlign w:val="bottom"/>
            <w:tcBorders>
              <w:top w:val="single" w:sz="8" w:color="0000FF"/>
            </w:tcBorders>
            <w:gridSpan w:val="15"/>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5660" w:type="dxa"/>
            <w:vAlign w:val="bottom"/>
            <w:gridSpan w:val="44"/>
          </w:tcPr>
          <w:p>
            <w:pPr>
              <w:spacing w:after="0"/>
              <w:rPr>
                <w:rFonts w:ascii="Arial" w:cs="Arial" w:eastAsia="Arial" w:hAnsi="Arial"/>
                <w:sz w:val="16"/>
                <w:szCs w:val="16"/>
                <w:color w:val="0000FF"/>
              </w:rPr>
            </w:pPr>
            <w:hyperlink r:id="rId148">
              <w:r>
                <w:rPr>
                  <w:rFonts w:ascii="Arial" w:cs="Arial" w:eastAsia="Arial" w:hAnsi="Arial"/>
                  <w:sz w:val="16"/>
                  <w:szCs w:val="16"/>
                  <w:color w:val="0000FF"/>
                </w:rPr>
                <w:t>Executive Change in Control Program, as amended and restated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12/21/2016</w:t>
            </w:r>
          </w:p>
        </w:tc>
      </w:tr>
      <w:tr>
        <w:trPr>
          <w:trHeight w:val="20"/>
        </w:trPr>
        <w:tc>
          <w:tcPr>
            <w:tcW w:w="92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5660" w:type="dxa"/>
            <w:vAlign w:val="bottom"/>
            <w:gridSpan w:val="44"/>
          </w:tcPr>
          <w:p>
            <w:pPr>
              <w:spacing w:after="0"/>
              <w:rPr>
                <w:rFonts w:ascii="Arial" w:cs="Arial" w:eastAsia="Arial" w:hAnsi="Arial"/>
                <w:sz w:val="16"/>
                <w:szCs w:val="16"/>
                <w:color w:val="0000FF"/>
                <w:w w:val="97"/>
              </w:rPr>
            </w:pPr>
            <w:hyperlink r:id="rId149">
              <w:r>
                <w:rPr>
                  <w:rFonts w:ascii="Arial" w:cs="Arial" w:eastAsia="Arial" w:hAnsi="Arial"/>
                  <w:sz w:val="16"/>
                  <w:szCs w:val="16"/>
                  <w:color w:val="0000FF"/>
                  <w:w w:val="97"/>
                </w:rPr>
                <w:t>Sub-Plan of the Autodesk, Inc. 1998 Employee Qualified Stock Purchase Plan, as</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3/25/2019</w:t>
            </w:r>
          </w:p>
        </w:tc>
      </w:tr>
      <w:tr>
        <w:trPr>
          <w:trHeight w:val="138"/>
        </w:trPr>
        <w:tc>
          <w:tcPr>
            <w:tcW w:w="92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7"/>
          </w:tcPr>
          <w:p>
            <w:pPr>
              <w:spacing w:after="0" w:line="138" w:lineRule="exact"/>
              <w:rPr>
                <w:rFonts w:ascii="Arial" w:cs="Arial" w:eastAsia="Arial" w:hAnsi="Arial"/>
                <w:sz w:val="16"/>
                <w:szCs w:val="16"/>
                <w:color w:val="0000FF"/>
                <w:w w:val="84"/>
              </w:rPr>
            </w:pPr>
            <w:hyperlink r:id="rId149">
              <w:r>
                <w:rPr>
                  <w:rFonts w:ascii="Arial" w:cs="Arial" w:eastAsia="Arial" w:hAnsi="Arial"/>
                  <w:sz w:val="16"/>
                  <w:szCs w:val="16"/>
                  <w:color w:val="0000FF"/>
                  <w:w w:val="84"/>
                </w:rPr>
                <w:t>amended and restated</w:t>
              </w:r>
            </w:hyperlink>
          </w:p>
        </w:tc>
        <w:tc>
          <w:tcPr>
            <w:tcW w:w="3780" w:type="dxa"/>
            <w:vAlign w:val="bottom"/>
            <w:tcBorders>
              <w:top w:val="single" w:sz="8" w:color="0000FF"/>
            </w:tcBorders>
            <w:gridSpan w:val="2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5660" w:type="dxa"/>
            <w:vAlign w:val="bottom"/>
            <w:gridSpan w:val="44"/>
          </w:tcPr>
          <w:p>
            <w:pPr>
              <w:spacing w:after="0"/>
              <w:rPr>
                <w:rFonts w:ascii="Arial" w:cs="Arial" w:eastAsia="Arial" w:hAnsi="Arial"/>
                <w:sz w:val="16"/>
                <w:szCs w:val="16"/>
                <w:color w:val="0000FF"/>
                <w:w w:val="92"/>
              </w:rPr>
            </w:pPr>
            <w:hyperlink r:id="rId150">
              <w:r>
                <w:rPr>
                  <w:rFonts w:ascii="Arial" w:cs="Arial" w:eastAsia="Arial" w:hAnsi="Arial"/>
                  <w:sz w:val="16"/>
                  <w:szCs w:val="16"/>
                  <w:color w:val="0000FF"/>
                  <w:w w:val="92"/>
                </w:rPr>
                <w:t>Form of Indemnification Agreement executed by the Registrant and each of its officers</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3/31/2005</w:t>
            </w:r>
          </w:p>
        </w:tc>
      </w:tr>
      <w:tr>
        <w:trPr>
          <w:trHeight w:val="138"/>
        </w:trPr>
        <w:tc>
          <w:tcPr>
            <w:tcW w:w="920" w:type="dxa"/>
            <w:vAlign w:val="bottom"/>
          </w:tcPr>
          <w:p>
            <w:pPr>
              <w:spacing w:after="0"/>
              <w:rPr>
                <w:sz w:val="12"/>
                <w:szCs w:val="12"/>
                <w:color w:val="auto"/>
              </w:rPr>
            </w:pPr>
          </w:p>
        </w:tc>
        <w:tc>
          <w:tcPr>
            <w:tcW w:w="5500" w:type="dxa"/>
            <w:vAlign w:val="bottom"/>
            <w:tcBorders>
              <w:top w:val="single" w:sz="8" w:color="0000FF"/>
            </w:tcBorders>
            <w:gridSpan w:val="41"/>
          </w:tcPr>
          <w:p>
            <w:pPr>
              <w:spacing w:after="0" w:line="138" w:lineRule="exact"/>
              <w:rPr>
                <w:rFonts w:ascii="Arial" w:cs="Arial" w:eastAsia="Arial" w:hAnsi="Arial"/>
                <w:sz w:val="16"/>
                <w:szCs w:val="16"/>
                <w:color w:val="0000FF"/>
              </w:rPr>
            </w:pPr>
            <w:hyperlink r:id="rId150">
              <w:r>
                <w:rPr>
                  <w:rFonts w:ascii="Arial" w:cs="Arial" w:eastAsia="Arial" w:hAnsi="Arial"/>
                  <w:sz w:val="16"/>
                  <w:szCs w:val="16"/>
                  <w:color w:val="0000FF"/>
                </w:rPr>
                <w:t>and directors</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5660" w:type="dxa"/>
            <w:vAlign w:val="bottom"/>
            <w:gridSpan w:val="44"/>
          </w:tcPr>
          <w:p>
            <w:pPr>
              <w:spacing w:after="0"/>
              <w:rPr>
                <w:rFonts w:ascii="Arial" w:cs="Arial" w:eastAsia="Arial" w:hAnsi="Arial"/>
                <w:sz w:val="16"/>
                <w:szCs w:val="16"/>
                <w:color w:val="0000FF"/>
                <w:w w:val="90"/>
              </w:rPr>
            </w:pPr>
            <w:hyperlink r:id="rId151">
              <w:r>
                <w:rPr>
                  <w:rFonts w:ascii="Arial" w:cs="Arial" w:eastAsia="Arial" w:hAnsi="Arial"/>
                  <w:sz w:val="16"/>
                  <w:szCs w:val="16"/>
                  <w:color w:val="0000FF"/>
                  <w:w w:val="90"/>
                </w:rPr>
                <w:t>Employment Agreement, dated as of June 19, 2017, by and between the Registrant and</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6/19/2017</w:t>
            </w:r>
          </w:p>
        </w:tc>
      </w:tr>
      <w:tr>
        <w:trPr>
          <w:trHeight w:val="138"/>
        </w:trPr>
        <w:tc>
          <w:tcPr>
            <w:tcW w:w="9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w w:val="90"/>
              </w:rPr>
            </w:pPr>
            <w:hyperlink r:id="rId151">
              <w:r>
                <w:rPr>
                  <w:rFonts w:ascii="Arial" w:cs="Arial" w:eastAsia="Arial" w:hAnsi="Arial"/>
                  <w:sz w:val="16"/>
                  <w:szCs w:val="16"/>
                  <w:color w:val="0000FF"/>
                  <w:w w:val="90"/>
                </w:rPr>
                <w:t>Andrew Anagnost</w:t>
              </w:r>
            </w:hyperlink>
          </w:p>
        </w:tc>
        <w:tc>
          <w:tcPr>
            <w:tcW w:w="4360" w:type="dxa"/>
            <w:vAlign w:val="bottom"/>
            <w:tcBorders>
              <w:top w:val="single" w:sz="8" w:color="0000FF"/>
            </w:tcBorders>
            <w:gridSpan w:val="37"/>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3240" w:type="dxa"/>
            <w:vAlign w:val="bottom"/>
            <w:tcBorders>
              <w:bottom w:val="single" w:sz="8" w:color="0000FF"/>
            </w:tcBorders>
            <w:gridSpan w:val="15"/>
          </w:tcPr>
          <w:p>
            <w:pPr>
              <w:spacing w:after="0"/>
              <w:rPr>
                <w:rFonts w:ascii="Arial" w:cs="Arial" w:eastAsia="Arial" w:hAnsi="Arial"/>
                <w:sz w:val="16"/>
                <w:szCs w:val="16"/>
                <w:color w:val="0000FF"/>
                <w:w w:val="87"/>
              </w:rPr>
            </w:pPr>
            <w:hyperlink r:id="rId152">
              <w:r>
                <w:rPr>
                  <w:rFonts w:ascii="Arial" w:cs="Arial" w:eastAsia="Arial" w:hAnsi="Arial"/>
                  <w:sz w:val="16"/>
                  <w:szCs w:val="16"/>
                  <w:color w:val="0000FF"/>
                  <w:w w:val="87"/>
                </w:rPr>
                <w:t>Registrant’s Severance Plan dated August 27, 2018</w:t>
              </w:r>
            </w:hyperlink>
          </w:p>
        </w:tc>
        <w:tc>
          <w:tcPr>
            <w:tcW w:w="2420" w:type="dxa"/>
            <w:vAlign w:val="bottom"/>
            <w:gridSpan w:val="29"/>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8/30/2018</w:t>
            </w: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5660" w:type="dxa"/>
            <w:vAlign w:val="bottom"/>
            <w:gridSpan w:val="44"/>
          </w:tcPr>
          <w:p>
            <w:pPr>
              <w:spacing w:after="0"/>
              <w:rPr>
                <w:rFonts w:ascii="Arial" w:cs="Arial" w:eastAsia="Arial" w:hAnsi="Arial"/>
                <w:sz w:val="16"/>
                <w:szCs w:val="16"/>
                <w:color w:val="0000FF"/>
                <w:w w:val="97"/>
              </w:rPr>
            </w:pPr>
            <w:hyperlink w:anchor="page116">
              <w:r>
                <w:rPr>
                  <w:rFonts w:ascii="Arial" w:cs="Arial" w:eastAsia="Arial" w:hAnsi="Arial"/>
                  <w:sz w:val="16"/>
                  <w:szCs w:val="16"/>
                  <w:color w:val="0000FF"/>
                  <w:w w:val="97"/>
                </w:rPr>
                <w:t>Registrant's 2012 Employee Stock Plan Form of Retirement Restricted Stock Unit</w:t>
              </w:r>
            </w:hyperlink>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5200" w:type="dxa"/>
            <w:vAlign w:val="bottom"/>
            <w:tcBorders>
              <w:top w:val="single" w:sz="8" w:color="0000FF"/>
            </w:tcBorders>
            <w:gridSpan w:val="30"/>
          </w:tcPr>
          <w:p>
            <w:pPr>
              <w:spacing w:after="0" w:line="138" w:lineRule="exact"/>
              <w:rPr>
                <w:rFonts w:ascii="Arial" w:cs="Arial" w:eastAsia="Arial" w:hAnsi="Arial"/>
                <w:sz w:val="16"/>
                <w:szCs w:val="16"/>
                <w:color w:val="0000FF"/>
              </w:rPr>
            </w:pPr>
            <w:hyperlink w:anchor="page116">
              <w:r>
                <w:rPr>
                  <w:rFonts w:ascii="Arial" w:cs="Arial" w:eastAsia="Arial" w:hAnsi="Arial"/>
                  <w:sz w:val="16"/>
                  <w:szCs w:val="16"/>
                  <w:color w:val="0000FF"/>
                </w:rPr>
                <w:t>Agreement, as amended and restated</w:t>
              </w:r>
            </w:hyperlink>
          </w:p>
        </w:tc>
        <w:tc>
          <w:tcPr>
            <w:tcW w:w="1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gridSpan w:val="1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5660" w:type="dxa"/>
            <w:vAlign w:val="bottom"/>
            <w:gridSpan w:val="44"/>
          </w:tcPr>
          <w:p>
            <w:pPr>
              <w:spacing w:after="0"/>
              <w:rPr>
                <w:rFonts w:ascii="Arial" w:cs="Arial" w:eastAsia="Arial" w:hAnsi="Arial"/>
                <w:sz w:val="16"/>
                <w:szCs w:val="16"/>
                <w:color w:val="0000FF"/>
                <w:w w:val="94"/>
              </w:rPr>
            </w:pPr>
            <w:hyperlink r:id="rId153">
              <w:r>
                <w:rPr>
                  <w:rFonts w:ascii="Arial" w:cs="Arial" w:eastAsia="Arial" w:hAnsi="Arial"/>
                  <w:sz w:val="16"/>
                  <w:szCs w:val="16"/>
                  <w:color w:val="0000FF"/>
                  <w:w w:val="94"/>
                </w:rPr>
                <w:t>Office Lease between Registrant and the J.H.S. Trust for 111 McInnis Parkway, San</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10/31/2004</w:t>
            </w:r>
          </w:p>
        </w:tc>
      </w:tr>
      <w:tr>
        <w:trPr>
          <w:trHeight w:val="138"/>
        </w:trPr>
        <w:tc>
          <w:tcPr>
            <w:tcW w:w="92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8"/>
          </w:tcPr>
          <w:p>
            <w:pPr>
              <w:spacing w:after="0" w:line="138" w:lineRule="exact"/>
              <w:rPr>
                <w:rFonts w:ascii="Arial" w:cs="Arial" w:eastAsia="Arial" w:hAnsi="Arial"/>
                <w:sz w:val="16"/>
                <w:szCs w:val="16"/>
                <w:color w:val="0000FF"/>
                <w:w w:val="87"/>
              </w:rPr>
            </w:pPr>
            <w:hyperlink r:id="rId153">
              <w:r>
                <w:rPr>
                  <w:rFonts w:ascii="Arial" w:cs="Arial" w:eastAsia="Arial" w:hAnsi="Arial"/>
                  <w:sz w:val="16"/>
                  <w:szCs w:val="16"/>
                  <w:color w:val="0000FF"/>
                  <w:w w:val="87"/>
                </w:rPr>
                <w:t>Rafael, CA, as amended</w:t>
              </w:r>
            </w:hyperlink>
          </w:p>
        </w:tc>
        <w:tc>
          <w:tcPr>
            <w:tcW w:w="3780" w:type="dxa"/>
            <w:vAlign w:val="bottom"/>
            <w:tcBorders>
              <w:top w:val="single" w:sz="8" w:color="0000FF"/>
            </w:tcBorders>
            <w:gridSpan w:val="25"/>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5660" w:type="dxa"/>
            <w:vAlign w:val="bottom"/>
            <w:gridSpan w:val="44"/>
          </w:tcPr>
          <w:p>
            <w:pPr>
              <w:spacing w:after="0"/>
              <w:rPr>
                <w:rFonts w:ascii="Arial" w:cs="Arial" w:eastAsia="Arial" w:hAnsi="Arial"/>
                <w:sz w:val="16"/>
                <w:szCs w:val="16"/>
                <w:color w:val="0000FF"/>
                <w:w w:val="93"/>
              </w:rPr>
            </w:pPr>
            <w:hyperlink r:id="rId154">
              <w:r>
                <w:rPr>
                  <w:rFonts w:ascii="Arial" w:cs="Arial" w:eastAsia="Arial" w:hAnsi="Arial"/>
                  <w:sz w:val="16"/>
                  <w:szCs w:val="16"/>
                  <w:color w:val="0000FF"/>
                  <w:w w:val="93"/>
                </w:rPr>
                <w:t>Fourth Amendment to Lease between Registrant and the J.H.S. Holdings L.P. for 111</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3/19/2010</w:t>
            </w:r>
          </w:p>
        </w:tc>
      </w:tr>
      <w:tr>
        <w:trPr>
          <w:trHeight w:val="138"/>
        </w:trPr>
        <w:tc>
          <w:tcPr>
            <w:tcW w:w="92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10"/>
          </w:tcPr>
          <w:p>
            <w:pPr>
              <w:spacing w:after="0" w:line="138" w:lineRule="exact"/>
              <w:rPr>
                <w:rFonts w:ascii="Arial" w:cs="Arial" w:eastAsia="Arial" w:hAnsi="Arial"/>
                <w:sz w:val="16"/>
                <w:szCs w:val="16"/>
                <w:color w:val="0000FF"/>
                <w:w w:val="89"/>
              </w:rPr>
            </w:pPr>
            <w:hyperlink r:id="rId154">
              <w:r>
                <w:rPr>
                  <w:rFonts w:ascii="Arial" w:cs="Arial" w:eastAsia="Arial" w:hAnsi="Arial"/>
                  <w:sz w:val="16"/>
                  <w:szCs w:val="16"/>
                  <w:color w:val="0000FF"/>
                  <w:w w:val="89"/>
                </w:rPr>
                <w:t>McInnis Parkway, San Rafael, CA</w:t>
              </w:r>
            </w:hyperlink>
          </w:p>
        </w:tc>
        <w:tc>
          <w:tcPr>
            <w:tcW w:w="3220" w:type="dxa"/>
            <w:vAlign w:val="bottom"/>
            <w:tcBorders>
              <w:top w:val="single" w:sz="8" w:color="0000FF"/>
            </w:tcBorders>
            <w:gridSpan w:val="27"/>
          </w:tcPr>
          <w:p>
            <w:pPr>
              <w:spacing w:after="0"/>
              <w:rPr>
                <w:sz w:val="12"/>
                <w:szCs w:val="12"/>
                <w:color w:val="auto"/>
              </w:rPr>
            </w:pPr>
          </w:p>
        </w:tc>
        <w:tc>
          <w:tcPr>
            <w:tcW w:w="16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5660" w:type="dxa"/>
            <w:vAlign w:val="bottom"/>
            <w:gridSpan w:val="44"/>
          </w:tcPr>
          <w:p>
            <w:pPr>
              <w:spacing w:after="0"/>
              <w:rPr>
                <w:rFonts w:ascii="Arial" w:cs="Arial" w:eastAsia="Arial" w:hAnsi="Arial"/>
                <w:sz w:val="16"/>
                <w:szCs w:val="16"/>
                <w:color w:val="0000FF"/>
                <w:w w:val="89"/>
              </w:rPr>
            </w:pPr>
            <w:hyperlink r:id="rId155">
              <w:r>
                <w:rPr>
                  <w:rFonts w:ascii="Arial" w:cs="Arial" w:eastAsia="Arial" w:hAnsi="Arial"/>
                  <w:sz w:val="16"/>
                  <w:szCs w:val="16"/>
                  <w:color w:val="0000FF"/>
                  <w:w w:val="89"/>
                </w:rPr>
                <w:t>Amended and Restated Credit Agreement, dated December 17, 2018, by and among the</w:t>
              </w:r>
            </w:hyperlink>
          </w:p>
        </w:tc>
        <w:tc>
          <w:tcPr>
            <w:tcW w:w="7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12/20/2018</w:t>
            </w:r>
          </w:p>
        </w:tc>
      </w:tr>
      <w:tr>
        <w:trPr>
          <w:trHeight w:val="138"/>
        </w:trPr>
        <w:tc>
          <w:tcPr>
            <w:tcW w:w="920" w:type="dxa"/>
            <w:vAlign w:val="bottom"/>
          </w:tcPr>
          <w:p>
            <w:pPr>
              <w:spacing w:after="0"/>
              <w:rPr>
                <w:sz w:val="12"/>
                <w:szCs w:val="12"/>
                <w:color w:val="auto"/>
              </w:rPr>
            </w:pPr>
          </w:p>
        </w:tc>
        <w:tc>
          <w:tcPr>
            <w:tcW w:w="5220" w:type="dxa"/>
            <w:vAlign w:val="bottom"/>
            <w:tcBorders>
              <w:top w:val="single" w:sz="8" w:color="0000FF"/>
              <w:bottom w:val="single" w:sz="8" w:color="0000FF"/>
            </w:tcBorders>
            <w:gridSpan w:val="31"/>
          </w:tcPr>
          <w:p>
            <w:pPr>
              <w:spacing w:after="0" w:line="138" w:lineRule="exact"/>
              <w:rPr>
                <w:rFonts w:ascii="Arial" w:cs="Arial" w:eastAsia="Arial" w:hAnsi="Arial"/>
                <w:sz w:val="16"/>
                <w:szCs w:val="16"/>
                <w:color w:val="0000FF"/>
                <w:w w:val="89"/>
              </w:rPr>
            </w:pPr>
            <w:hyperlink r:id="rId155">
              <w:r>
                <w:rPr>
                  <w:rFonts w:ascii="Arial" w:cs="Arial" w:eastAsia="Arial" w:hAnsi="Arial"/>
                  <w:sz w:val="16"/>
                  <w:szCs w:val="16"/>
                  <w:color w:val="0000FF"/>
                  <w:w w:val="89"/>
                </w:rPr>
                <w:t>Registrant, the lenders from time to time party thereto and Citibank, N.A. as agent</w:t>
              </w:r>
            </w:hyperlink>
          </w:p>
        </w:tc>
        <w:tc>
          <w:tcPr>
            <w:tcW w:w="340" w:type="dxa"/>
            <w:vAlign w:val="bottom"/>
            <w:tcBorders>
              <w:top w:val="single" w:sz="8" w:color="0000FF"/>
            </w:tcBorders>
            <w:gridSpan w:val="1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8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6"/>
              </w:rPr>
              <w:t>Incorporated by Reference</w:t>
            </w:r>
          </w:p>
        </w:tc>
        <w:tc>
          <w:tcPr>
            <w:tcW w:w="1000" w:type="dxa"/>
            <w:vAlign w:val="bottom"/>
            <w:tcBorders>
              <w:bottom w:val="single" w:sz="8" w:color="auto"/>
            </w:tcBorders>
          </w:tcPr>
          <w:p>
            <w:pPr>
              <w:spacing w:after="0"/>
              <w:rPr>
                <w:sz w:val="16"/>
                <w:szCs w:val="16"/>
                <w:color w:val="auto"/>
              </w:rPr>
            </w:pPr>
          </w:p>
        </w:tc>
      </w:tr>
      <w:tr>
        <w:trPr>
          <w:trHeight w:val="18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SEC File No.</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165"/>
        </w:trPr>
        <w:tc>
          <w:tcPr>
            <w:tcW w:w="920" w:type="dxa"/>
            <w:vAlign w:val="bottom"/>
          </w:tcPr>
          <w:p>
            <w:pPr>
              <w:jc w:val="center"/>
              <w:spacing w:after="0" w:line="165" w:lineRule="exact"/>
              <w:rPr>
                <w:sz w:val="20"/>
                <w:szCs w:val="20"/>
                <w:color w:val="auto"/>
              </w:rPr>
            </w:pPr>
            <w:r>
              <w:rPr>
                <w:rFonts w:ascii="Arial" w:cs="Arial" w:eastAsia="Arial" w:hAnsi="Arial"/>
                <w:sz w:val="16"/>
                <w:szCs w:val="16"/>
                <w:color w:val="auto"/>
                <w:w w:val="89"/>
              </w:rPr>
              <w:t>10.25</w:t>
            </w:r>
          </w:p>
        </w:tc>
        <w:tc>
          <w:tcPr>
            <w:tcW w:w="5620" w:type="dxa"/>
            <w:vAlign w:val="bottom"/>
            <w:gridSpan w:val="14"/>
          </w:tcPr>
          <w:p>
            <w:pPr>
              <w:spacing w:after="0" w:line="165" w:lineRule="exact"/>
              <w:rPr>
                <w:rFonts w:ascii="Arial" w:cs="Arial" w:eastAsia="Arial" w:hAnsi="Arial"/>
                <w:sz w:val="16"/>
                <w:szCs w:val="16"/>
                <w:color w:val="0000FF"/>
                <w:w w:val="93"/>
              </w:rPr>
            </w:pPr>
            <w:hyperlink r:id="rId157">
              <w:r>
                <w:rPr>
                  <w:rFonts w:ascii="Arial" w:cs="Arial" w:eastAsia="Arial" w:hAnsi="Arial"/>
                  <w:sz w:val="16"/>
                  <w:szCs w:val="16"/>
                  <w:color w:val="0000FF"/>
                  <w:w w:val="93"/>
                </w:rPr>
                <w:t>Term Loan Agreement, dated December 17, 2018, by and among the Registrant, the</w:t>
              </w:r>
            </w:hyperlink>
          </w:p>
        </w:tc>
        <w:tc>
          <w:tcPr>
            <w:tcW w:w="820" w:type="dxa"/>
            <w:vAlign w:val="bottom"/>
          </w:tcPr>
          <w:p>
            <w:pPr>
              <w:spacing w:after="0"/>
              <w:rPr>
                <w:sz w:val="14"/>
                <w:szCs w:val="14"/>
                <w:color w:val="auto"/>
              </w:rPr>
            </w:pPr>
          </w:p>
        </w:tc>
        <w:tc>
          <w:tcPr>
            <w:tcW w:w="820" w:type="dxa"/>
            <w:vAlign w:val="bottom"/>
          </w:tcPr>
          <w:p>
            <w:pPr>
              <w:jc w:val="center"/>
              <w:spacing w:after="0" w:line="165" w:lineRule="exact"/>
              <w:rPr>
                <w:sz w:val="20"/>
                <w:szCs w:val="20"/>
                <w:color w:val="auto"/>
              </w:rPr>
            </w:pPr>
            <w:r>
              <w:rPr>
                <w:rFonts w:ascii="Arial" w:cs="Arial" w:eastAsia="Arial" w:hAnsi="Arial"/>
                <w:sz w:val="16"/>
                <w:szCs w:val="16"/>
                <w:color w:val="auto"/>
              </w:rPr>
              <w:t>8-K</w:t>
            </w:r>
          </w:p>
        </w:tc>
        <w:tc>
          <w:tcPr>
            <w:tcW w:w="1200" w:type="dxa"/>
            <w:vAlign w:val="bottom"/>
          </w:tcPr>
          <w:p>
            <w:pPr>
              <w:jc w:val="right"/>
              <w:ind w:right="167"/>
              <w:spacing w:after="0" w:line="165" w:lineRule="exact"/>
              <w:rPr>
                <w:sz w:val="20"/>
                <w:szCs w:val="20"/>
                <w:color w:val="auto"/>
              </w:rPr>
            </w:pPr>
            <w:r>
              <w:rPr>
                <w:rFonts w:ascii="Arial" w:cs="Arial" w:eastAsia="Arial" w:hAnsi="Arial"/>
                <w:sz w:val="16"/>
                <w:szCs w:val="16"/>
                <w:color w:val="auto"/>
              </w:rPr>
              <w:t>000-14338</w:t>
            </w:r>
          </w:p>
        </w:tc>
        <w:tc>
          <w:tcPr>
            <w:tcW w:w="860" w:type="dxa"/>
            <w:vAlign w:val="bottom"/>
          </w:tcPr>
          <w:p>
            <w:pPr>
              <w:jc w:val="right"/>
              <w:ind w:right="225"/>
              <w:spacing w:after="0" w:line="165" w:lineRule="exact"/>
              <w:rPr>
                <w:sz w:val="20"/>
                <w:szCs w:val="20"/>
                <w:color w:val="auto"/>
              </w:rPr>
            </w:pPr>
            <w:r>
              <w:rPr>
                <w:rFonts w:ascii="Arial" w:cs="Arial" w:eastAsia="Arial" w:hAnsi="Arial"/>
                <w:sz w:val="16"/>
                <w:szCs w:val="16"/>
                <w:color w:val="auto"/>
              </w:rPr>
              <w:t>10.2</w:t>
            </w:r>
          </w:p>
        </w:tc>
        <w:tc>
          <w:tcPr>
            <w:tcW w:w="1000" w:type="dxa"/>
            <w:vAlign w:val="bottom"/>
          </w:tcPr>
          <w:p>
            <w:pPr>
              <w:jc w:val="right"/>
              <w:ind w:right="65"/>
              <w:spacing w:after="0" w:line="165" w:lineRule="exact"/>
              <w:rPr>
                <w:sz w:val="20"/>
                <w:szCs w:val="20"/>
                <w:color w:val="auto"/>
              </w:rPr>
            </w:pPr>
            <w:r>
              <w:rPr>
                <w:rFonts w:ascii="Arial" w:cs="Arial" w:eastAsia="Arial" w:hAnsi="Arial"/>
                <w:sz w:val="16"/>
                <w:szCs w:val="16"/>
                <w:color w:val="auto"/>
              </w:rPr>
              <w:t>12/20/2018</w:t>
            </w:r>
          </w:p>
        </w:tc>
      </w:tr>
      <w:tr>
        <w:trPr>
          <w:trHeight w:val="138"/>
        </w:trPr>
        <w:tc>
          <w:tcPr>
            <w:tcW w:w="920" w:type="dxa"/>
            <w:vAlign w:val="bottom"/>
          </w:tcPr>
          <w:p>
            <w:pPr>
              <w:spacing w:after="0"/>
              <w:rPr>
                <w:sz w:val="12"/>
                <w:szCs w:val="12"/>
                <w:color w:val="auto"/>
              </w:rPr>
            </w:pPr>
          </w:p>
        </w:tc>
        <w:tc>
          <w:tcPr>
            <w:tcW w:w="5320" w:type="dxa"/>
            <w:vAlign w:val="bottom"/>
            <w:tcBorders>
              <w:top w:val="single" w:sz="8" w:color="0000FF"/>
            </w:tcBorders>
            <w:gridSpan w:val="10"/>
          </w:tcPr>
          <w:p>
            <w:pPr>
              <w:spacing w:after="0" w:line="138" w:lineRule="exact"/>
              <w:rPr>
                <w:rFonts w:ascii="Arial" w:cs="Arial" w:eastAsia="Arial" w:hAnsi="Arial"/>
                <w:sz w:val="16"/>
                <w:szCs w:val="16"/>
                <w:color w:val="0000FF"/>
              </w:rPr>
            </w:pPr>
            <w:hyperlink r:id="rId157">
              <w:r>
                <w:rPr>
                  <w:rFonts w:ascii="Arial" w:cs="Arial" w:eastAsia="Arial" w:hAnsi="Arial"/>
                  <w:sz w:val="16"/>
                  <w:szCs w:val="16"/>
                  <w:color w:val="0000FF"/>
                </w:rPr>
                <w:t>lenders from time to time party thereto and Citibank, N.A. as agent</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24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0"/>
              </w:rPr>
            </w:pPr>
            <w:hyperlink w:anchor="page148">
              <w:r>
                <w:rPr>
                  <w:rFonts w:ascii="Arial" w:cs="Arial" w:eastAsia="Arial" w:hAnsi="Arial"/>
                  <w:sz w:val="16"/>
                  <w:szCs w:val="16"/>
                  <w:color w:val="0000FF"/>
                  <w:w w:val="90"/>
                </w:rPr>
                <w:t>List of Subsidiaries</w:t>
              </w:r>
            </w:hyperlink>
          </w:p>
        </w:tc>
        <w:tc>
          <w:tcPr>
            <w:tcW w:w="3000" w:type="dxa"/>
            <w:vAlign w:val="bottom"/>
            <w:tcBorders>
              <w:top w:val="single" w:sz="8" w:color="0000FF"/>
            </w:tcBorders>
            <w:gridSpan w:val="2"/>
          </w:tcPr>
          <w:p>
            <w:pPr>
              <w:spacing w:after="0"/>
              <w:rPr>
                <w:sz w:val="16"/>
                <w:szCs w:val="16"/>
                <w:color w:val="auto"/>
              </w:rPr>
            </w:pPr>
          </w:p>
        </w:tc>
        <w:tc>
          <w:tcPr>
            <w:tcW w:w="1380" w:type="dxa"/>
            <w:vAlign w:val="bottom"/>
            <w:gridSpan w:val="8"/>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5620" w:type="dxa"/>
            <w:vAlign w:val="bottom"/>
            <w:gridSpan w:val="14"/>
          </w:tcPr>
          <w:p>
            <w:pPr>
              <w:spacing w:after="0"/>
              <w:rPr>
                <w:rFonts w:ascii="Arial" w:cs="Arial" w:eastAsia="Arial" w:hAnsi="Arial"/>
                <w:sz w:val="16"/>
                <w:szCs w:val="16"/>
                <w:color w:val="0000FF"/>
                <w:w w:val="97"/>
              </w:rPr>
            </w:pPr>
            <w:hyperlink w:anchor="page150">
              <w:r>
                <w:rPr>
                  <w:rFonts w:ascii="Arial" w:cs="Arial" w:eastAsia="Arial" w:hAnsi="Arial"/>
                  <w:sz w:val="16"/>
                  <w:szCs w:val="16"/>
                  <w:color w:val="0000FF"/>
                  <w:w w:val="97"/>
                </w:rPr>
                <w:t>Consent of Independent Registered Public Accounting Firm (Ernst &amp; Young LLP)</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5220" w:type="dxa"/>
            <w:vAlign w:val="bottom"/>
            <w:tcBorders>
              <w:top w:val="single" w:sz="8" w:color="0000FF"/>
            </w:tcBorders>
            <w:gridSpan w:val="7"/>
          </w:tcPr>
          <w:p>
            <w:pPr>
              <w:spacing w:after="0" w:line="138" w:lineRule="exact"/>
              <w:rPr>
                <w:rFonts w:ascii="Arial" w:cs="Arial" w:eastAsia="Arial" w:hAnsi="Arial"/>
                <w:sz w:val="16"/>
                <w:szCs w:val="16"/>
                <w:color w:val="0000FF"/>
              </w:rPr>
            </w:pPr>
            <w:hyperlink w:anchor="page150">
              <w:r>
                <w:rPr>
                  <w:rFonts w:ascii="Arial" w:cs="Arial" w:eastAsia="Arial" w:hAnsi="Arial"/>
                  <w:sz w:val="16"/>
                  <w:szCs w:val="16"/>
                  <w:color w:val="0000FF"/>
                </w:rPr>
                <w:t>(filed herewith)</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5620" w:type="dxa"/>
            <w:vAlign w:val="bottom"/>
            <w:gridSpan w:val="14"/>
          </w:tcPr>
          <w:p>
            <w:pPr>
              <w:spacing w:after="0"/>
              <w:rPr>
                <w:rFonts w:ascii="Arial" w:cs="Arial" w:eastAsia="Arial" w:hAnsi="Arial"/>
                <w:sz w:val="16"/>
                <w:szCs w:val="16"/>
                <w:color w:val="0000FF"/>
                <w:w w:val="92"/>
              </w:rPr>
            </w:pPr>
            <w:hyperlink w:anchor="page114">
              <w:r>
                <w:rPr>
                  <w:rFonts w:ascii="Arial" w:cs="Arial" w:eastAsia="Arial" w:hAnsi="Arial"/>
                  <w:sz w:val="16"/>
                  <w:szCs w:val="16"/>
                  <w:color w:val="0000FF"/>
                  <w:w w:val="92"/>
                </w:rPr>
                <w:t>Power of Attorney (contained in the signature page to this Annual Report on Form 10-</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5480" w:type="dxa"/>
            <w:vAlign w:val="bottom"/>
            <w:tcBorders>
              <w:top w:val="single" w:sz="8" w:color="0000FF"/>
            </w:tcBorders>
            <w:gridSpan w:val="12"/>
          </w:tcPr>
          <w:p>
            <w:pPr>
              <w:spacing w:after="0" w:line="138" w:lineRule="exact"/>
              <w:rPr>
                <w:rFonts w:ascii="Arial" w:cs="Arial" w:eastAsia="Arial" w:hAnsi="Arial"/>
                <w:sz w:val="16"/>
                <w:szCs w:val="16"/>
                <w:color w:val="0000FF"/>
              </w:rPr>
            </w:pPr>
            <w:hyperlink w:anchor="page114">
              <w:r>
                <w:rPr>
                  <w:rFonts w:ascii="Arial" w:cs="Arial" w:eastAsia="Arial" w:hAnsi="Arial"/>
                  <w:sz w:val="16"/>
                  <w:szCs w:val="16"/>
                  <w:color w:val="0000FF"/>
                </w:rPr>
                <w:t>K)</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5620" w:type="dxa"/>
            <w:vAlign w:val="bottom"/>
            <w:gridSpan w:val="14"/>
          </w:tcPr>
          <w:p>
            <w:pPr>
              <w:spacing w:after="0"/>
              <w:rPr>
                <w:rFonts w:ascii="Arial" w:cs="Arial" w:eastAsia="Arial" w:hAnsi="Arial"/>
                <w:sz w:val="16"/>
                <w:szCs w:val="16"/>
                <w:color w:val="0000FF"/>
                <w:w w:val="95"/>
              </w:rPr>
            </w:pPr>
            <w:hyperlink w:anchor="page151">
              <w:r>
                <w:rPr>
                  <w:rFonts w:ascii="Arial" w:cs="Arial" w:eastAsia="Arial" w:hAnsi="Arial"/>
                  <w:sz w:val="16"/>
                  <w:szCs w:val="16"/>
                  <w:color w:val="0000FF"/>
                  <w:w w:val="95"/>
                </w:rPr>
                <w:t>Certification of Chief Executive Officer pursuant to Rule 13a-14(a) of the Securities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w w:val="89"/>
              </w:rPr>
            </w:pPr>
            <w:hyperlink w:anchor="page151">
              <w:r>
                <w:rPr>
                  <w:rFonts w:ascii="Arial" w:cs="Arial" w:eastAsia="Arial" w:hAnsi="Arial"/>
                  <w:sz w:val="16"/>
                  <w:szCs w:val="16"/>
                  <w:color w:val="0000FF"/>
                  <w:w w:val="89"/>
                </w:rPr>
                <w:t>Exchange Act of 1934</w:t>
              </w:r>
            </w:hyperlink>
          </w:p>
        </w:tc>
        <w:tc>
          <w:tcPr>
            <w:tcW w:w="3920" w:type="dxa"/>
            <w:vAlign w:val="bottom"/>
            <w:tcBorders>
              <w:top w:val="single" w:sz="8" w:color="0000FF"/>
            </w:tcBorders>
            <w:gridSpan w:val="6"/>
          </w:tcPr>
          <w:p>
            <w:pPr>
              <w:spacing w:after="0"/>
              <w:rPr>
                <w:sz w:val="12"/>
                <w:szCs w:val="12"/>
                <w:color w:val="auto"/>
              </w:rPr>
            </w:pP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5620" w:type="dxa"/>
            <w:vAlign w:val="bottom"/>
            <w:gridSpan w:val="14"/>
          </w:tcPr>
          <w:p>
            <w:pPr>
              <w:spacing w:after="0"/>
              <w:rPr>
                <w:rFonts w:ascii="Arial" w:cs="Arial" w:eastAsia="Arial" w:hAnsi="Arial"/>
                <w:sz w:val="16"/>
                <w:szCs w:val="16"/>
                <w:color w:val="0000FF"/>
                <w:w w:val="96"/>
              </w:rPr>
            </w:pPr>
            <w:hyperlink w:anchor="page152">
              <w:r>
                <w:rPr>
                  <w:rFonts w:ascii="Arial" w:cs="Arial" w:eastAsia="Arial" w:hAnsi="Arial"/>
                  <w:sz w:val="16"/>
                  <w:szCs w:val="16"/>
                  <w:color w:val="0000FF"/>
                  <w:w w:val="96"/>
                </w:rPr>
                <w:t>Certification of Chief Financial Officer pursuant to Rule 13a-14(a) of the Securities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w w:val="89"/>
              </w:rPr>
            </w:pPr>
            <w:hyperlink w:anchor="page152">
              <w:r>
                <w:rPr>
                  <w:rFonts w:ascii="Arial" w:cs="Arial" w:eastAsia="Arial" w:hAnsi="Arial"/>
                  <w:sz w:val="16"/>
                  <w:szCs w:val="16"/>
                  <w:color w:val="0000FF"/>
                  <w:w w:val="89"/>
                </w:rPr>
                <w:t>Exchange Act of 1934</w:t>
              </w:r>
            </w:hyperlink>
          </w:p>
        </w:tc>
        <w:tc>
          <w:tcPr>
            <w:tcW w:w="3880" w:type="dxa"/>
            <w:vAlign w:val="bottom"/>
            <w:tcBorders>
              <w:top w:val="single" w:sz="8" w:color="0000FF"/>
            </w:tcBorders>
            <w:gridSpan w:val="4"/>
          </w:tcPr>
          <w:p>
            <w:pPr>
              <w:spacing w:after="0"/>
              <w:rPr>
                <w:sz w:val="12"/>
                <w:szCs w:val="12"/>
                <w:color w:val="auto"/>
              </w:rPr>
            </w:pPr>
          </w:p>
        </w:tc>
        <w:tc>
          <w:tcPr>
            <w:tcW w:w="20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1"/>
        </w:trPr>
        <w:tc>
          <w:tcPr>
            <w:tcW w:w="92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5620" w:type="dxa"/>
            <w:vAlign w:val="bottom"/>
            <w:gridSpan w:val="14"/>
          </w:tcPr>
          <w:p>
            <w:pPr>
              <w:spacing w:after="0"/>
              <w:rPr>
                <w:rFonts w:ascii="Arial" w:cs="Arial" w:eastAsia="Arial" w:hAnsi="Arial"/>
                <w:sz w:val="16"/>
                <w:szCs w:val="16"/>
                <w:color w:val="0000FF"/>
                <w:w w:val="98"/>
              </w:rPr>
            </w:pPr>
            <w:hyperlink w:anchor="page153">
              <w:r>
                <w:rPr>
                  <w:rFonts w:ascii="Arial" w:cs="Arial" w:eastAsia="Arial" w:hAnsi="Arial"/>
                  <w:sz w:val="16"/>
                  <w:szCs w:val="16"/>
                  <w:color w:val="0000FF"/>
                  <w:w w:val="98"/>
                </w:rPr>
                <w:t>Certification of Chief Executive Officer and Chief Financial Officer pursuant to 18</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8"/>
        </w:trPr>
        <w:tc>
          <w:tcPr>
            <w:tcW w:w="920" w:type="dxa"/>
            <w:vAlign w:val="bottom"/>
          </w:tcPr>
          <w:p>
            <w:pPr>
              <w:spacing w:after="0"/>
              <w:rPr>
                <w:sz w:val="12"/>
                <w:szCs w:val="12"/>
                <w:color w:val="auto"/>
              </w:rPr>
            </w:pPr>
          </w:p>
        </w:tc>
        <w:tc>
          <w:tcPr>
            <w:tcW w:w="5260" w:type="dxa"/>
            <w:vAlign w:val="bottom"/>
            <w:tcBorders>
              <w:top w:val="single" w:sz="8" w:color="0000FF"/>
            </w:tcBorders>
            <w:gridSpan w:val="8"/>
          </w:tcPr>
          <w:p>
            <w:pPr>
              <w:spacing w:after="0" w:line="138" w:lineRule="exact"/>
              <w:rPr>
                <w:rFonts w:ascii="Arial" w:cs="Arial" w:eastAsia="Arial" w:hAnsi="Arial"/>
                <w:sz w:val="16"/>
                <w:szCs w:val="16"/>
                <w:color w:val="0000FF"/>
                <w:w w:val="87"/>
              </w:rPr>
            </w:pPr>
            <w:hyperlink w:anchor="page153">
              <w:r>
                <w:rPr>
                  <w:rFonts w:ascii="Arial" w:cs="Arial" w:eastAsia="Arial" w:hAnsi="Arial"/>
                  <w:sz w:val="16"/>
                  <w:szCs w:val="16"/>
                  <w:color w:val="0000FF"/>
                  <w:w w:val="87"/>
                </w:rPr>
                <w:t>U.S.C. Section 1350, as adopted pursuant to Section 906 of the Sarbanes-Oxley Act</w:t>
              </w:r>
            </w:hyperlink>
          </w:p>
        </w:tc>
        <w:tc>
          <w:tcPr>
            <w:tcW w:w="360" w:type="dxa"/>
            <w:vAlign w:val="bottom"/>
            <w:gridSpan w:val="6"/>
          </w:tcPr>
          <w:p>
            <w:pPr>
              <w:ind w:left="80"/>
              <w:spacing w:after="0" w:line="138" w:lineRule="exact"/>
              <w:rPr>
                <w:rFonts w:ascii="Arial" w:cs="Arial" w:eastAsia="Arial" w:hAnsi="Arial"/>
                <w:sz w:val="16"/>
                <w:szCs w:val="16"/>
                <w:color w:val="0000FF"/>
              </w:rPr>
            </w:pPr>
            <w:hyperlink w:anchor="page153">
              <w:r>
                <w:rPr>
                  <w:rFonts w:ascii="Arial" w:cs="Arial" w:eastAsia="Arial" w:hAnsi="Arial"/>
                  <w:sz w:val="16"/>
                  <w:szCs w:val="16"/>
                  <w:color w:val="0000FF"/>
                </w:rPr>
                <w:t>of</w:t>
              </w:r>
            </w:hyperlink>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8"/>
        </w:trPr>
        <w:tc>
          <w:tcPr>
            <w:tcW w:w="92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38" w:lineRule="exact"/>
              <w:rPr>
                <w:rFonts w:ascii="Arial" w:cs="Arial" w:eastAsia="Arial" w:hAnsi="Arial"/>
                <w:sz w:val="16"/>
                <w:szCs w:val="16"/>
                <w:color w:val="0000FF"/>
                <w:w w:val="84"/>
              </w:rPr>
            </w:pPr>
            <w:hyperlink w:anchor="page153">
              <w:r>
                <w:rPr>
                  <w:rFonts w:ascii="Arial" w:cs="Arial" w:eastAsia="Arial" w:hAnsi="Arial"/>
                  <w:sz w:val="16"/>
                  <w:szCs w:val="16"/>
                  <w:color w:val="0000FF"/>
                  <w:w w:val="84"/>
                </w:rPr>
                <w:t>2002</w:t>
              </w:r>
            </w:hyperlink>
          </w:p>
        </w:tc>
        <w:tc>
          <w:tcPr>
            <w:tcW w:w="6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8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101.INS ††  XBRL Instance Document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 XBRL Taxonomy Extension Schema</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101.CAL †† XBRL Taxonomy Extension Calculation Linkbase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101.DEF †† XBRL Taxonomy Extension Definition Linkbase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101.LAB †† XBRL Taxonomy Extension Label Linkbase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101.PRE †† XBRL Taxonomy Extension Presentation Linkbase</w:t>
      </w:r>
    </w:p>
    <w:p>
      <w:pPr>
        <w:spacing w:after="0" w:line="27" w:lineRule="exact"/>
        <w:rPr>
          <w:sz w:val="20"/>
          <w:szCs w:val="20"/>
          <w:color w:val="auto"/>
        </w:rPr>
      </w:pPr>
    </w:p>
    <w:p>
      <w:pPr>
        <w:ind w:left="920" w:right="4900" w:hanging="585"/>
        <w:spacing w:after="0" w:line="234" w:lineRule="auto"/>
        <w:tabs>
          <w:tab w:leader="none" w:pos="9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240" w:hanging="234"/>
        <w:spacing w:after="0"/>
        <w:tabs>
          <w:tab w:leader="none" w:pos="2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5" w:lineRule="exact"/>
        <w:rPr>
          <w:sz w:val="20"/>
          <w:szCs w:val="20"/>
          <w:color w:val="auto"/>
        </w:rPr>
      </w:pPr>
    </w:p>
    <w:p>
      <w:pPr>
        <w:ind w:left="400" w:right="40" w:hanging="394"/>
        <w:spacing w:after="0" w:line="258" w:lineRule="auto"/>
        <w:tabs>
          <w:tab w:leader="none" w:pos="239"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ind w:left="360" w:hanging="354"/>
        <w:spacing w:after="0"/>
        <w:tabs>
          <w:tab w:leader="none" w:pos="3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35"/>
        <w:spacing w:after="0" w:line="269"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AUTODESK, INC.</w:t>
      </w:r>
    </w:p>
    <w:p>
      <w:pPr>
        <w:spacing w:after="0" w:line="36" w:lineRule="exact"/>
        <w:rPr>
          <w:sz w:val="20"/>
          <w:szCs w:val="20"/>
          <w:color w:val="auto"/>
        </w:rPr>
      </w:pPr>
    </w:p>
    <w:p>
      <w:pPr>
        <w:ind w:left="5460"/>
        <w:spacing w:after="0"/>
        <w:tabs>
          <w:tab w:leader="none" w:pos="7600" w:val="left"/>
          <w:tab w:leader="none" w:pos="7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15240</wp:posOffset>
            </wp:positionV>
            <wp:extent cx="3224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Andrew Anagnost</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1"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7" w:right="69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and</w:t>
      </w:r>
      <w:r>
        <w:rPr>
          <w:rFonts w:ascii="Arial" w:cs="Arial" w:eastAsia="Arial" w:hAnsi="Arial"/>
          <w:sz w:val="18"/>
          <w:szCs w:val="18"/>
          <w:b w:val="1"/>
          <w:bCs w:val="1"/>
          <w:color w:val="auto"/>
        </w:rPr>
        <w:t xml:space="preserve"> </w:t>
      </w:r>
      <w:r>
        <w:rPr>
          <w:rFonts w:ascii="Arial" w:cs="Arial" w:eastAsia="Arial" w:hAnsi="Arial"/>
          <w:sz w:val="18"/>
          <w:szCs w:val="18"/>
          <w:color w:val="auto"/>
        </w:rPr>
        <w:t>Deborah L. Clifford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5" w:lineRule="exact"/>
        <w:rPr>
          <w:sz w:val="20"/>
          <w:szCs w:val="20"/>
          <w:color w:val="auto"/>
        </w:rPr>
      </w:pPr>
    </w:p>
    <w:p>
      <w:pPr>
        <w:ind w:right="160" w:firstLine="435"/>
        <w:spacing w:after="0" w:line="269"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19, 2021.</w:t>
      </w:r>
    </w:p>
    <w:p>
      <w:pPr>
        <w:sectPr>
          <w:pgSz w:w="11900" w:h="16838" w:orient="portrait"/>
          <w:cols w:equalWidth="0" w:num="1">
            <w:col w:w="11160"/>
          </w:cols>
          <w:pgMar w:left="320" w:top="127" w:right="419" w:bottom="1440" w:gutter="0" w:footer="0" w:header="0"/>
        </w:sectPr>
      </w:pPr>
    </w:p>
    <w:p>
      <w:pPr>
        <w:spacing w:after="0" w:line="297" w:lineRule="exact"/>
        <w:rPr>
          <w:sz w:val="20"/>
          <w:szCs w:val="20"/>
          <w:color w:val="auto"/>
        </w:rPr>
      </w:pPr>
    </w:p>
    <w:p>
      <w:pPr>
        <w:ind w:left="30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60" w:lineRule="exact"/>
        <w:rPr>
          <w:sz w:val="20"/>
          <w:szCs w:val="20"/>
          <w:color w:val="auto"/>
        </w:rPr>
      </w:pPr>
    </w:p>
    <w:p>
      <w:pPr>
        <w:ind w:left="2260"/>
        <w:spacing w:after="0"/>
        <w:tabs>
          <w:tab w:leader="none" w:pos="254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15240</wp:posOffset>
            </wp:positionV>
            <wp:extent cx="2822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spacing w:after="0" w:line="60"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Andrew Anagnost</w:t>
      </w:r>
    </w:p>
    <w:p>
      <w:pPr>
        <w:spacing w:after="0" w:line="330" w:lineRule="exact"/>
        <w:rPr>
          <w:sz w:val="20"/>
          <w:szCs w:val="20"/>
          <w:color w:val="auto"/>
        </w:rPr>
      </w:pPr>
    </w:p>
    <w:p>
      <w:pPr>
        <w:ind w:left="2300"/>
        <w:spacing w:after="0"/>
        <w:tabs>
          <w:tab w:leader="none" w:pos="26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15240</wp:posOffset>
            </wp:positionV>
            <wp:extent cx="2822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spacing w:after="0" w:line="178"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Deborah L. Clifford</w:t>
      </w:r>
    </w:p>
    <w:p>
      <w:pPr>
        <w:spacing w:after="0" w:line="317"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15240</wp:posOffset>
            </wp:positionV>
            <wp:extent cx="2822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spacing w:after="0" w:line="60"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Stephen W. Hope</w:t>
      </w:r>
    </w:p>
    <w:p>
      <w:pPr>
        <w:spacing w:after="0" w:line="330"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1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4"/>
              </w:rPr>
              <w:t>/s/</w:t>
            </w:r>
          </w:p>
        </w:tc>
        <w:tc>
          <w:tcPr>
            <w:tcW w:w="2920" w:type="dxa"/>
            <w:vAlign w:val="bottom"/>
            <w:tcBorders>
              <w:bottom w:val="single" w:sz="8" w:color="auto"/>
            </w:tcBorders>
          </w:tcPr>
          <w:p>
            <w:pPr>
              <w:jc w:val="center"/>
              <w:ind w:right="1421"/>
              <w:spacing w:after="0"/>
              <w:rPr>
                <w:sz w:val="20"/>
                <w:szCs w:val="20"/>
                <w:color w:val="auto"/>
              </w:rPr>
            </w:pPr>
            <w:r>
              <w:rPr>
                <w:rFonts w:ascii="Arial" w:cs="Arial" w:eastAsia="Arial" w:hAnsi="Arial"/>
                <w:sz w:val="16"/>
                <w:szCs w:val="16"/>
                <w:color w:val="auto"/>
                <w:w w:val="94"/>
              </w:rPr>
              <w:t>STACY J. SMITH</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41"/>
              <w:spacing w:after="0"/>
              <w:rPr>
                <w:sz w:val="20"/>
                <w:szCs w:val="20"/>
                <w:color w:val="auto"/>
              </w:rPr>
            </w:pPr>
            <w:r>
              <w:rPr>
                <w:rFonts w:ascii="Arial" w:cs="Arial" w:eastAsia="Arial" w:hAnsi="Arial"/>
                <w:sz w:val="16"/>
                <w:szCs w:val="16"/>
                <w:color w:val="auto"/>
                <w:w w:val="89"/>
              </w:rPr>
              <w:t>Stacy J. Smith</w:t>
            </w:r>
          </w:p>
        </w:tc>
      </w:tr>
      <w:tr>
        <w:trPr>
          <w:trHeight w:val="359"/>
        </w:trPr>
        <w:tc>
          <w:tcPr>
            <w:tcW w:w="1520" w:type="dxa"/>
            <w:vAlign w:val="bottom"/>
            <w:tcBorders>
              <w:bottom w:val="single" w:sz="8" w:color="auto"/>
            </w:tcBorders>
            <w:gridSpan w:val="2"/>
          </w:tcPr>
          <w:p>
            <w:pPr>
              <w:ind w:left="1240"/>
              <w:spacing w:after="0"/>
              <w:rPr>
                <w:sz w:val="20"/>
                <w:szCs w:val="20"/>
                <w:color w:val="auto"/>
              </w:rPr>
            </w:pPr>
            <w:r>
              <w:rPr>
                <w:rFonts w:ascii="Arial" w:cs="Arial" w:eastAsia="Arial" w:hAnsi="Arial"/>
                <w:sz w:val="16"/>
                <w:szCs w:val="16"/>
                <w:color w:val="auto"/>
              </w:rPr>
              <w:t>/s/</w:t>
            </w:r>
          </w:p>
        </w:tc>
        <w:tc>
          <w:tcPr>
            <w:tcW w:w="2920" w:type="dxa"/>
            <w:vAlign w:val="bottom"/>
            <w:tcBorders>
              <w:bottom w:val="single" w:sz="8" w:color="auto"/>
            </w:tcBorders>
          </w:tcPr>
          <w:p>
            <w:pPr>
              <w:jc w:val="center"/>
              <w:ind w:right="1501"/>
              <w:spacing w:after="0"/>
              <w:rPr>
                <w:sz w:val="20"/>
                <w:szCs w:val="20"/>
                <w:color w:val="auto"/>
              </w:rPr>
            </w:pPr>
            <w:r>
              <w:rPr>
                <w:rFonts w:ascii="Arial" w:cs="Arial" w:eastAsia="Arial" w:hAnsi="Arial"/>
                <w:sz w:val="16"/>
                <w:szCs w:val="16"/>
                <w:color w:val="auto"/>
                <w:w w:val="97"/>
              </w:rPr>
              <w:t>KAREN BLASING</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41"/>
              <w:spacing w:after="0"/>
              <w:rPr>
                <w:sz w:val="20"/>
                <w:szCs w:val="20"/>
                <w:color w:val="auto"/>
              </w:rPr>
            </w:pPr>
            <w:r>
              <w:rPr>
                <w:rFonts w:ascii="Arial" w:cs="Arial" w:eastAsia="Arial" w:hAnsi="Arial"/>
                <w:sz w:val="16"/>
                <w:szCs w:val="16"/>
                <w:color w:val="auto"/>
                <w:w w:val="92"/>
              </w:rPr>
              <w:t>Karen Blasing</w:t>
            </w:r>
          </w:p>
        </w:tc>
      </w:tr>
      <w:tr>
        <w:trPr>
          <w:trHeight w:val="359"/>
        </w:trPr>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1461"/>
              <w:spacing w:after="0"/>
              <w:rPr>
                <w:sz w:val="20"/>
                <w:szCs w:val="20"/>
                <w:color w:val="auto"/>
              </w:rPr>
            </w:pPr>
            <w:r>
              <w:rPr>
                <w:rFonts w:ascii="Arial" w:cs="Arial" w:eastAsia="Arial" w:hAnsi="Arial"/>
                <w:sz w:val="16"/>
                <w:szCs w:val="16"/>
                <w:color w:val="auto"/>
                <w:w w:val="99"/>
              </w:rPr>
              <w:t>/s/  REID FRENCH</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61"/>
              <w:spacing w:after="0"/>
              <w:rPr>
                <w:sz w:val="20"/>
                <w:szCs w:val="20"/>
                <w:color w:val="auto"/>
              </w:rPr>
            </w:pPr>
            <w:r>
              <w:rPr>
                <w:rFonts w:ascii="Arial" w:cs="Arial" w:eastAsia="Arial" w:hAnsi="Arial"/>
                <w:sz w:val="16"/>
                <w:szCs w:val="16"/>
                <w:color w:val="auto"/>
                <w:w w:val="89"/>
              </w:rPr>
              <w:t>Reid French</w:t>
            </w:r>
          </w:p>
        </w:tc>
      </w:tr>
      <w:tr>
        <w:trPr>
          <w:trHeight w:val="359"/>
        </w:trPr>
        <w:tc>
          <w:tcPr>
            <w:tcW w:w="1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center"/>
              <w:ind w:right="1201"/>
              <w:spacing w:after="0"/>
              <w:rPr>
                <w:sz w:val="20"/>
                <w:szCs w:val="20"/>
                <w:color w:val="auto"/>
              </w:rPr>
            </w:pPr>
            <w:r>
              <w:rPr>
                <w:rFonts w:ascii="Arial" w:cs="Arial" w:eastAsia="Arial" w:hAnsi="Arial"/>
                <w:sz w:val="16"/>
                <w:szCs w:val="16"/>
                <w:color w:val="auto"/>
                <w:w w:val="96"/>
              </w:rPr>
              <w:t>/s/ AYANNA HOWARD</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61"/>
              <w:spacing w:after="0"/>
              <w:rPr>
                <w:sz w:val="20"/>
                <w:szCs w:val="20"/>
                <w:color w:val="auto"/>
              </w:rPr>
            </w:pPr>
            <w:r>
              <w:rPr>
                <w:rFonts w:ascii="Arial" w:cs="Arial" w:eastAsia="Arial" w:hAnsi="Arial"/>
                <w:sz w:val="16"/>
                <w:szCs w:val="16"/>
                <w:color w:val="auto"/>
                <w:w w:val="89"/>
              </w:rPr>
              <w:t>Ayanna Howard</w:t>
            </w:r>
          </w:p>
        </w:tc>
      </w:tr>
      <w:tr>
        <w:trPr>
          <w:trHeight w:val="359"/>
        </w:trPr>
        <w:tc>
          <w:tcPr>
            <w:tcW w:w="12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w w:val="70"/>
              </w:rPr>
              <w:t>/s/</w:t>
            </w:r>
          </w:p>
        </w:tc>
        <w:tc>
          <w:tcPr>
            <w:tcW w:w="3180" w:type="dxa"/>
            <w:vAlign w:val="bottom"/>
            <w:tcBorders>
              <w:bottom w:val="single" w:sz="8" w:color="auto"/>
            </w:tcBorders>
            <w:gridSpan w:val="2"/>
          </w:tcPr>
          <w:p>
            <w:pPr>
              <w:jc w:val="center"/>
              <w:ind w:right="1201"/>
              <w:spacing w:after="0"/>
              <w:rPr>
                <w:sz w:val="20"/>
                <w:szCs w:val="20"/>
                <w:color w:val="auto"/>
              </w:rPr>
            </w:pPr>
            <w:r>
              <w:rPr>
                <w:rFonts w:ascii="Arial" w:cs="Arial" w:eastAsia="Arial" w:hAnsi="Arial"/>
                <w:sz w:val="16"/>
                <w:szCs w:val="16"/>
                <w:color w:val="auto"/>
                <w:w w:val="97"/>
              </w:rPr>
              <w:t>MARY T. MCDOWELL</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61"/>
              <w:spacing w:after="0"/>
              <w:rPr>
                <w:sz w:val="20"/>
                <w:szCs w:val="20"/>
                <w:color w:val="auto"/>
              </w:rPr>
            </w:pPr>
            <w:r>
              <w:rPr>
                <w:rFonts w:ascii="Arial" w:cs="Arial" w:eastAsia="Arial" w:hAnsi="Arial"/>
                <w:sz w:val="16"/>
                <w:szCs w:val="16"/>
                <w:color w:val="auto"/>
                <w:w w:val="95"/>
              </w:rPr>
              <w:t>Mary T. McDowell</w:t>
            </w:r>
          </w:p>
        </w:tc>
      </w:tr>
      <w:tr>
        <w:trPr>
          <w:trHeight w:val="359"/>
        </w:trPr>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920" w:type="dxa"/>
            <w:vAlign w:val="bottom"/>
            <w:tcBorders>
              <w:bottom w:val="single" w:sz="8" w:color="auto"/>
            </w:tcBorders>
          </w:tcPr>
          <w:p>
            <w:pPr>
              <w:jc w:val="center"/>
              <w:ind w:right="1461"/>
              <w:spacing w:after="0"/>
              <w:rPr>
                <w:sz w:val="20"/>
                <w:szCs w:val="20"/>
                <w:color w:val="auto"/>
              </w:rPr>
            </w:pPr>
            <w:r>
              <w:rPr>
                <w:rFonts w:ascii="Arial" w:cs="Arial" w:eastAsia="Arial" w:hAnsi="Arial"/>
                <w:sz w:val="16"/>
                <w:szCs w:val="16"/>
                <w:color w:val="auto"/>
                <w:w w:val="98"/>
              </w:rPr>
              <w:t>BLAKE J. IRVING</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61"/>
              <w:spacing w:after="0"/>
              <w:rPr>
                <w:sz w:val="20"/>
                <w:szCs w:val="20"/>
                <w:color w:val="auto"/>
              </w:rPr>
            </w:pPr>
            <w:r>
              <w:rPr>
                <w:rFonts w:ascii="Arial" w:cs="Arial" w:eastAsia="Arial" w:hAnsi="Arial"/>
                <w:sz w:val="16"/>
                <w:szCs w:val="16"/>
                <w:color w:val="auto"/>
                <w:w w:val="93"/>
              </w:rPr>
              <w:t>Blake J. Irving</w:t>
            </w:r>
          </w:p>
        </w:tc>
      </w:tr>
      <w:tr>
        <w:trPr>
          <w:trHeight w:val="359"/>
        </w:trPr>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w w:val="94"/>
              </w:rPr>
              <w:t>/s/</w:t>
            </w:r>
          </w:p>
        </w:tc>
        <w:tc>
          <w:tcPr>
            <w:tcW w:w="31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color w:val="auto"/>
              </w:rPr>
              <w:t>STEPHEN D. MILLIGAN</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81"/>
              <w:spacing w:after="0"/>
              <w:rPr>
                <w:sz w:val="20"/>
                <w:szCs w:val="20"/>
                <w:color w:val="auto"/>
              </w:rPr>
            </w:pPr>
            <w:r>
              <w:rPr>
                <w:rFonts w:ascii="Arial" w:cs="Arial" w:eastAsia="Arial" w:hAnsi="Arial"/>
                <w:sz w:val="16"/>
                <w:szCs w:val="16"/>
                <w:color w:val="auto"/>
                <w:w w:val="92"/>
              </w:rPr>
              <w:t>Stephen D. Milligan</w:t>
            </w:r>
          </w:p>
        </w:tc>
      </w:tr>
      <w:tr>
        <w:trPr>
          <w:trHeight w:val="359"/>
        </w:trPr>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/s/</w:t>
            </w:r>
          </w:p>
        </w:tc>
        <w:tc>
          <w:tcPr>
            <w:tcW w:w="3180" w:type="dxa"/>
            <w:vAlign w:val="bottom"/>
            <w:tcBorders>
              <w:bottom w:val="single" w:sz="8" w:color="auto"/>
            </w:tcBorders>
            <w:gridSpan w:val="2"/>
          </w:tcPr>
          <w:p>
            <w:pPr>
              <w:jc w:val="center"/>
              <w:ind w:right="1201"/>
              <w:spacing w:after="0"/>
              <w:rPr>
                <w:sz w:val="20"/>
                <w:szCs w:val="20"/>
                <w:color w:val="auto"/>
              </w:rPr>
            </w:pPr>
            <w:r>
              <w:rPr>
                <w:rFonts w:ascii="Arial" w:cs="Arial" w:eastAsia="Arial" w:hAnsi="Arial"/>
                <w:sz w:val="16"/>
                <w:szCs w:val="16"/>
                <w:color w:val="auto"/>
                <w:w w:val="95"/>
              </w:rPr>
              <w:t>LORRIE M. NORRINGTON</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41"/>
              <w:spacing w:after="0"/>
              <w:rPr>
                <w:sz w:val="20"/>
                <w:szCs w:val="20"/>
                <w:color w:val="auto"/>
              </w:rPr>
            </w:pPr>
            <w:r>
              <w:rPr>
                <w:rFonts w:ascii="Arial" w:cs="Arial" w:eastAsia="Arial" w:hAnsi="Arial"/>
                <w:sz w:val="16"/>
                <w:szCs w:val="16"/>
                <w:color w:val="auto"/>
                <w:w w:val="95"/>
              </w:rPr>
              <w:t>Lorrie M. Norrington</w:t>
            </w:r>
          </w:p>
        </w:tc>
      </w:tr>
      <w:tr>
        <w:trPr>
          <w:trHeight w:val="359"/>
        </w:trPr>
        <w:tc>
          <w:tcPr>
            <w:tcW w:w="1520" w:type="dxa"/>
            <w:vAlign w:val="bottom"/>
            <w:tcBorders>
              <w:bottom w:val="single" w:sz="8" w:color="auto"/>
            </w:tcBorders>
            <w:gridSpan w:val="2"/>
          </w:tcPr>
          <w:p>
            <w:pPr>
              <w:ind w:left="1220"/>
              <w:spacing w:after="0"/>
              <w:rPr>
                <w:sz w:val="20"/>
                <w:szCs w:val="20"/>
                <w:color w:val="auto"/>
              </w:rPr>
            </w:pPr>
            <w:r>
              <w:rPr>
                <w:rFonts w:ascii="Arial" w:cs="Arial" w:eastAsia="Arial" w:hAnsi="Arial"/>
                <w:sz w:val="16"/>
                <w:szCs w:val="16"/>
                <w:color w:val="auto"/>
              </w:rPr>
              <w:t>/s/</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ELIZABETH RAFAEL</w:t>
            </w:r>
          </w:p>
        </w:tc>
      </w:tr>
      <w:tr>
        <w:trPr>
          <w:trHeight w:val="24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jc w:val="center"/>
              <w:ind w:right="1441"/>
              <w:spacing w:after="0"/>
              <w:rPr>
                <w:sz w:val="20"/>
                <w:szCs w:val="20"/>
                <w:color w:val="auto"/>
              </w:rPr>
            </w:pPr>
            <w:r>
              <w:rPr>
                <w:rFonts w:ascii="Arial" w:cs="Arial" w:eastAsia="Arial" w:hAnsi="Arial"/>
                <w:sz w:val="16"/>
                <w:szCs w:val="16"/>
                <w:color w:val="auto"/>
                <w:w w:val="89"/>
              </w:rPr>
              <w:t>Elizabeth Rafael</w:t>
            </w: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4"/>
          <w:szCs w:val="14"/>
          <w:b w:val="1"/>
          <w:bCs w:val="1"/>
          <w:u w:val="single" w:color="auto"/>
          <w:color w:val="auto"/>
        </w:rPr>
        <w:t>Title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President and Chief Executive Officer, Director</w:t>
      </w:r>
    </w:p>
    <w:p>
      <w:pPr>
        <w:spacing w:after="0" w:line="2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Financial Officer</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16" w:lineRule="exact"/>
        <w:rPr>
          <w:sz w:val="20"/>
          <w:szCs w:val="20"/>
          <w:color w:val="auto"/>
        </w:rPr>
      </w:pPr>
    </w:p>
    <w:p>
      <w:pPr>
        <w:jc w:val="center"/>
        <w:ind w:right="1680"/>
        <w:spacing w:after="0"/>
        <w:rPr>
          <w:sz w:val="20"/>
          <w:szCs w:val="20"/>
          <w:color w:val="auto"/>
        </w:rPr>
      </w:pPr>
      <w:r>
        <w:rPr>
          <w:rFonts w:ascii="Arial" w:cs="Arial" w:eastAsia="Arial" w:hAnsi="Arial"/>
          <w:sz w:val="16"/>
          <w:szCs w:val="16"/>
          <w:color w:val="auto"/>
        </w:rPr>
        <w:t>Vice President and Chief Accounting Officer</w:t>
      </w:r>
    </w:p>
    <w:p>
      <w:pPr>
        <w:jc w:val="center"/>
        <w:ind w:right="1680"/>
        <w:spacing w:after="0"/>
        <w:rPr>
          <w:sz w:val="20"/>
          <w:szCs w:val="20"/>
          <w:color w:val="auto"/>
        </w:rPr>
      </w:pPr>
      <w:r>
        <w:rPr>
          <w:rFonts w:ascii="Arial" w:cs="Arial" w:eastAsia="Arial" w:hAnsi="Arial"/>
          <w:sz w:val="16"/>
          <w:szCs w:val="16"/>
          <w:color w:val="auto"/>
        </w:rPr>
        <w:t>(Principal Accounting Officer)</w:t>
      </w:r>
    </w:p>
    <w:p>
      <w:pPr>
        <w:spacing w:after="0" w:line="384"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Director</w:t>
      </w:r>
    </w:p>
    <w:p>
      <w:pPr>
        <w:jc w:val="center"/>
        <w:ind w:right="1440"/>
        <w:spacing w:after="0"/>
        <w:rPr>
          <w:sz w:val="20"/>
          <w:szCs w:val="20"/>
          <w:color w:val="auto"/>
        </w:rPr>
      </w:pPr>
      <w:r>
        <w:rPr>
          <w:rFonts w:ascii="Arial" w:cs="Arial" w:eastAsia="Arial" w:hAnsi="Arial"/>
          <w:sz w:val="16"/>
          <w:szCs w:val="16"/>
          <w:color w:val="auto"/>
        </w:rPr>
        <w:t>(Non-executive Chairman of the Board)</w:t>
      </w:r>
    </w:p>
    <w:p>
      <w:pPr>
        <w:spacing w:after="0" w:line="39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6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507" w:lineRule="exact"/>
        <w:rPr>
          <w:sz w:val="20"/>
          <w:szCs w:val="20"/>
          <w:color w:val="auto"/>
        </w:rPr>
      </w:pPr>
    </w:p>
    <w:p>
      <w:pPr>
        <w:sectPr>
          <w:pgSz w:w="11900" w:h="16838" w:orient="portrait"/>
          <w:cols w:equalWidth="0" w:num="2">
            <w:col w:w="5560" w:space="620"/>
            <w:col w:w="4980"/>
          </w:cols>
          <w:pgMar w:left="320" w:top="12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60"/>
          </w:cols>
          <w:pgMar w:left="320" w:top="127" w:right="41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10.21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AUTODESK,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2012 EMPLOYEE STOCK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TERMS AND CONDITIONS OF RESTRICTED STOCK UNITS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(Settled in Shares)</w:t>
      </w:r>
    </w:p>
    <w:p>
      <w:pPr>
        <w:spacing w:after="0" w:line="210" w:lineRule="exact"/>
        <w:rPr>
          <w:sz w:val="20"/>
          <w:szCs w:val="20"/>
          <w:color w:val="auto"/>
        </w:rPr>
      </w:pPr>
    </w:p>
    <w:p>
      <w:pPr>
        <w:jc w:val="both"/>
        <w:ind w:firstLine="639"/>
        <w:spacing w:after="0" w:line="237" w:lineRule="auto"/>
        <w:tabs>
          <w:tab w:leader="none" w:pos="83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Employee (“Participant”) named in the Notice of Grant of Restricted Stock Units (the “Notice of Grant”) under the Autodesk, Inc. 2012 Employee Stock Plan (the “Plan”) the number of Restricted Stock Units indicated on the Notice of Grant, subject to all of the terms and conditions in this Agreement (as defined 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spacing w:after="0" w:line="177" w:lineRule="exact"/>
        <w:rPr>
          <w:rFonts w:ascii="Arial" w:cs="Arial" w:eastAsia="Arial" w:hAnsi="Arial"/>
          <w:sz w:val="19"/>
          <w:szCs w:val="19"/>
          <w:color w:val="auto"/>
        </w:rPr>
      </w:pPr>
    </w:p>
    <w:p>
      <w:pPr>
        <w:jc w:val="both"/>
        <w:ind w:firstLine="639"/>
        <w:spacing w:after="0" w:line="241" w:lineRule="auto"/>
        <w:tabs>
          <w:tab w:leader="none" w:pos="82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Company’s Obligation to Settle</w:t>
      </w:r>
      <w:r>
        <w:rPr>
          <w:rFonts w:ascii="Arial" w:cs="Arial" w:eastAsia="Arial" w:hAnsi="Arial"/>
          <w:sz w:val="19"/>
          <w:szCs w:val="19"/>
          <w:color w:val="auto"/>
        </w:rPr>
        <w:t>. Unless and until the Restricted Stock Units shall have vested in the manner set forth in Sections 3, 4 or 8 of this Agreement or Section 13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177" w:lineRule="exact"/>
        <w:rPr>
          <w:rFonts w:ascii="Arial" w:cs="Arial" w:eastAsia="Arial" w:hAnsi="Arial"/>
          <w:sz w:val="19"/>
          <w:szCs w:val="19"/>
          <w:color w:val="auto"/>
        </w:rPr>
      </w:pPr>
    </w:p>
    <w:p>
      <w:pPr>
        <w:jc w:val="both"/>
        <w:ind w:firstLine="639"/>
        <w:spacing w:after="0" w:line="239" w:lineRule="auto"/>
        <w:tabs>
          <w:tab w:leader="none" w:pos="82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Except as provided in Section 4 of this Agreement and Section 13 of the Plan, and subject to Sections 5 and 8 of this Agreement, the Restricted Stock Units awarded by this Agreement shall vest in accordance with the vesting provisions set forth in the Notice of Grant. Except as set forth in Section 8 of this Agreement,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spacing w:after="0" w:line="178" w:lineRule="exact"/>
        <w:rPr>
          <w:rFonts w:ascii="Arial" w:cs="Arial" w:eastAsia="Arial" w:hAnsi="Arial"/>
          <w:sz w:val="19"/>
          <w:szCs w:val="19"/>
          <w:color w:val="auto"/>
        </w:rPr>
      </w:pPr>
    </w:p>
    <w:p>
      <w:pPr>
        <w:jc w:val="both"/>
        <w:ind w:firstLine="639"/>
        <w:spacing w:after="0" w:line="248" w:lineRule="auto"/>
        <w:tabs>
          <w:tab w:leader="none" w:pos="82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 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 an Employee, then the settlement of such accelerated Restricted Stock Units shall not be made until the earlier of (A) six (6) months and one (1) day following the date of Participant’s termination as an Employee or (B) Participant’s death. It is the intent of this Agreement to comply with or be exempt from the requirements of Section 409A of the Code so that none of the Restricted Stock Units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83" w:right="339" w:bottom="1440" w:gutter="0" w:footer="0" w:header="0"/>
        </w:sectPr>
      </w:pPr>
    </w:p>
    <w:bookmarkStart w:id="116" w:name="page117"/>
    <w:bookmarkEnd w:id="116"/>
    <w:p>
      <w:pPr>
        <w:spacing w:after="0" w:line="262" w:lineRule="auto"/>
        <w:rPr>
          <w:sz w:val="20"/>
          <w:szCs w:val="20"/>
          <w:color w:val="auto"/>
        </w:rPr>
      </w:pPr>
      <w:r>
        <w:rPr>
          <w:rFonts w:ascii="Arial" w:cs="Arial" w:eastAsia="Arial" w:hAnsi="Arial"/>
          <w:sz w:val="19"/>
          <w:szCs w:val="19"/>
          <w:color w:val="auto"/>
        </w:rPr>
        <w:t>this Agreement or Shares issuable thereunder shall be subject to the additional tax imposed under Section 409A of the Code, and any ambiguities herein shall be interpreted to so comply.</w:t>
      </w:r>
    </w:p>
    <w:p>
      <w:pPr>
        <w:spacing w:after="0" w:line="156" w:lineRule="exact"/>
        <w:rPr>
          <w:sz w:val="20"/>
          <w:szCs w:val="20"/>
          <w:color w:val="auto"/>
        </w:rPr>
      </w:pPr>
    </w:p>
    <w:p>
      <w:pPr>
        <w:ind w:left="840" w:hanging="201"/>
        <w:spacing w:after="0"/>
        <w:tabs>
          <w:tab w:leader="none" w:pos="8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of Status as an Employee</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jc w:val="both"/>
        <w:ind w:firstLine="1272"/>
        <w:spacing w:after="0" w:line="267" w:lineRule="auto"/>
        <w:tabs>
          <w:tab w:leader="none" w:pos="15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Subject to Section 7, Section 8 and Section 5(b), the balance of the Restricted Stock Units that have not vested as of the time of Participant’s termination as an Employee for any or no reason shall be forfeited and automatically transferred to and reacquired by the Company at no cost to the Company, and Participant’s right to acquire any Shares hereunder shall immediately terminate.</w:t>
      </w:r>
    </w:p>
    <w:p>
      <w:pPr>
        <w:spacing w:after="0" w:line="153" w:lineRule="exact"/>
        <w:rPr>
          <w:rFonts w:ascii="Arial" w:cs="Arial" w:eastAsia="Arial" w:hAnsi="Arial"/>
          <w:sz w:val="18"/>
          <w:szCs w:val="18"/>
          <w:color w:val="auto"/>
        </w:rPr>
      </w:pPr>
    </w:p>
    <w:p>
      <w:pPr>
        <w:jc w:val="both"/>
        <w:ind w:firstLine="1272"/>
        <w:spacing w:after="0" w:line="252"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Notwithstanding Section 5(a), if Participant is subject to the Company’s Executive Change in Control Program on his or her Termination Date (defined below), upon any termination without Cause (defined below) or for Good Reason (defined below) following a Change of Control (defined below), unvested Restricted Stock Units with vesting schedules subject only to Participant’s continuous service as an Employee (“Time-Based RSUs”) shall vest in full as of such termination, and unvested Restricted Stock Units which are not Time-Based RSUs (“Performance-Based RSUs”) shall vest at the “target” level set forth in the Notice of Grant as of such termination. For purposes of this Section 5(b), “Cause”, “Change of Control”, “Good Reason” and “Termination Date” shall have the meaning set forth in the version of the Company’s Executive Change in Control Program, as in effect on the Termination Date.</w:t>
      </w:r>
    </w:p>
    <w:p>
      <w:pPr>
        <w:spacing w:after="0" w:line="166" w:lineRule="exact"/>
        <w:rPr>
          <w:rFonts w:ascii="Arial" w:cs="Arial" w:eastAsia="Arial" w:hAnsi="Arial"/>
          <w:sz w:val="18"/>
          <w:szCs w:val="18"/>
          <w:color w:val="auto"/>
        </w:rPr>
      </w:pPr>
    </w:p>
    <w:p>
      <w:pPr>
        <w:jc w:val="both"/>
        <w:ind w:firstLine="639"/>
        <w:spacing w:after="0" w:line="227" w:lineRule="auto"/>
        <w:tabs>
          <w:tab w:leader="none" w:pos="82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Distribution after Vesting</w:t>
      </w:r>
      <w:r>
        <w:rPr>
          <w:rFonts w:ascii="Arial" w:cs="Arial" w:eastAsia="Arial" w:hAnsi="Arial"/>
          <w:sz w:val="19"/>
          <w:szCs w:val="19"/>
          <w:color w:val="auto"/>
        </w:rPr>
        <w:t>. Unless otherwise specified in the country-specific provisions in Exhibit B, 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this Agreement, but, subject to Applicable Law, in no event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9 and the other provisions of this Agreement.</w:t>
      </w:r>
    </w:p>
    <w:p>
      <w:pPr>
        <w:spacing w:after="0" w:line="176" w:lineRule="exact"/>
        <w:rPr>
          <w:rFonts w:ascii="Arial" w:cs="Arial" w:eastAsia="Arial" w:hAnsi="Arial"/>
          <w:sz w:val="19"/>
          <w:szCs w:val="19"/>
          <w:color w:val="auto"/>
        </w:rPr>
      </w:pPr>
    </w:p>
    <w:p>
      <w:pPr>
        <w:ind w:left="840" w:hanging="201"/>
        <w:spacing w:after="0"/>
        <w:tabs>
          <w:tab w:leader="none" w:pos="8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Disability or Death of Participant</w:t>
      </w:r>
      <w:r>
        <w:rPr>
          <w:rFonts w:ascii="Arial" w:cs="Arial" w:eastAsia="Arial" w:hAnsi="Arial"/>
          <w:sz w:val="19"/>
          <w:szCs w:val="19"/>
          <w:color w:val="auto"/>
        </w:rPr>
        <w:t>.</w:t>
      </w:r>
    </w:p>
    <w:p>
      <w:pPr>
        <w:spacing w:after="0" w:line="204" w:lineRule="exact"/>
        <w:rPr>
          <w:sz w:val="20"/>
          <w:szCs w:val="20"/>
          <w:color w:val="auto"/>
        </w:rPr>
      </w:pPr>
    </w:p>
    <w:p>
      <w:pPr>
        <w:ind w:firstLine="639"/>
        <w:spacing w:after="0" w:line="262" w:lineRule="auto"/>
        <w:tabs>
          <w:tab w:leader="none" w:pos="8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Subject to Section 7(c), if Participant ceases to be an Employee by reason of his or her Disability during the term of this Award, all unvested Time-Based RSUs shall vest in full as of the date of such cessation of employment due to such Disability.</w:t>
      </w:r>
    </w:p>
    <w:p>
      <w:pPr>
        <w:spacing w:after="0" w:line="156" w:lineRule="exact"/>
        <w:rPr>
          <w:rFonts w:ascii="Arial" w:cs="Arial" w:eastAsia="Arial" w:hAnsi="Arial"/>
          <w:sz w:val="19"/>
          <w:szCs w:val="19"/>
          <w:color w:val="auto"/>
        </w:rPr>
      </w:pPr>
    </w:p>
    <w:p>
      <w:pPr>
        <w:jc w:val="both"/>
        <w:ind w:firstLine="1193"/>
        <w:spacing w:after="0" w:line="237" w:lineRule="auto"/>
        <w:tabs>
          <w:tab w:leader="none" w:pos="1474" w:val="left"/>
        </w:tabs>
        <w:numPr>
          <w:ilvl w:val="1"/>
          <w:numId w:val="77"/>
        </w:numPr>
        <w:rPr>
          <w:rFonts w:ascii="Arial" w:cs="Arial" w:eastAsia="Arial" w:hAnsi="Arial"/>
          <w:sz w:val="19"/>
          <w:szCs w:val="19"/>
          <w:color w:val="auto"/>
        </w:rPr>
      </w:pPr>
      <w:r>
        <w:rPr>
          <w:rFonts w:ascii="Arial" w:cs="Arial" w:eastAsia="Arial" w:hAnsi="Arial"/>
          <w:sz w:val="19"/>
          <w:szCs w:val="19"/>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7" w:lineRule="exact"/>
        <w:rPr>
          <w:rFonts w:ascii="Arial" w:cs="Arial" w:eastAsia="Arial" w:hAnsi="Arial"/>
          <w:sz w:val="19"/>
          <w:szCs w:val="19"/>
          <w:color w:val="auto"/>
        </w:rPr>
      </w:pPr>
    </w:p>
    <w:p>
      <w:pPr>
        <w:jc w:val="both"/>
        <w:ind w:firstLine="1193"/>
        <w:spacing w:after="0" w:line="247" w:lineRule="auto"/>
        <w:tabs>
          <w:tab w:leader="none" w:pos="1450" w:val="left"/>
        </w:tabs>
        <w:numPr>
          <w:ilvl w:val="1"/>
          <w:numId w:val="77"/>
        </w:numPr>
        <w:rPr>
          <w:rFonts w:ascii="Arial" w:cs="Arial" w:eastAsia="Arial" w:hAnsi="Arial"/>
          <w:sz w:val="19"/>
          <w:szCs w:val="19"/>
          <w:color w:val="auto"/>
        </w:rPr>
      </w:pPr>
      <w:r>
        <w:rPr>
          <w:rFonts w:ascii="Arial" w:cs="Arial" w:eastAsia="Arial" w:hAnsi="Arial"/>
          <w:sz w:val="19"/>
          <w:szCs w:val="19"/>
          <w:color w:val="auto"/>
        </w:rPr>
        <w:t>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89" w:right="339" w:bottom="1440" w:gutter="0" w:footer="0" w:header="0"/>
        </w:sectPr>
      </w:pPr>
    </w:p>
    <w:bookmarkStart w:id="117" w:name="page118"/>
    <w:bookmarkEnd w:id="117"/>
    <w:p>
      <w:pPr>
        <w:ind w:left="840" w:hanging="201"/>
        <w:spacing w:after="0"/>
        <w:tabs>
          <w:tab w:leader="none" w:pos="84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Retirement of Participant</w:t>
      </w:r>
    </w:p>
    <w:p>
      <w:pPr>
        <w:spacing w:after="0" w:line="203" w:lineRule="exact"/>
        <w:rPr>
          <w:rFonts w:ascii="Arial" w:cs="Arial" w:eastAsia="Arial" w:hAnsi="Arial"/>
          <w:sz w:val="19"/>
          <w:szCs w:val="19"/>
          <w:color w:val="auto"/>
        </w:rPr>
      </w:pPr>
    </w:p>
    <w:p>
      <w:pPr>
        <w:jc w:val="both"/>
        <w:ind w:firstLine="1193"/>
        <w:spacing w:after="0" w:line="239" w:lineRule="auto"/>
        <w:tabs>
          <w:tab w:leader="none" w:pos="1450"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 the event of Participant’s Qualified Retirement (as defined below), shares subject to time-based RSUs that would otherwise vest within twelve (12) months following his or her Qualified Retirement shall fully accelerate and become vested with respect to one hundred percent (100%) of the shares of Company common stock subject thereto as of the date of Participant’s Qualified Retirement. Any Company time-based RSUs that remain unvested after application of this Section 8 shall immediately be forfeited and cancelled for no additional consideration upon the Participant’s Qualified Retirement.</w:t>
      </w:r>
    </w:p>
    <w:p>
      <w:pPr>
        <w:spacing w:after="0" w:line="178" w:lineRule="exact"/>
        <w:rPr>
          <w:rFonts w:ascii="Arial" w:cs="Arial" w:eastAsia="Arial" w:hAnsi="Arial"/>
          <w:sz w:val="19"/>
          <w:szCs w:val="19"/>
          <w:color w:val="auto"/>
        </w:rPr>
      </w:pPr>
    </w:p>
    <w:p>
      <w:pPr>
        <w:jc w:val="both"/>
        <w:ind w:firstLine="1430"/>
        <w:spacing w:after="0" w:line="238" w:lineRule="auto"/>
        <w:tabs>
          <w:tab w:leader="none" w:pos="1698" w:val="left"/>
        </w:tabs>
        <w:numPr>
          <w:ilvl w:val="3"/>
          <w:numId w:val="78"/>
        </w:numPr>
        <w:rPr>
          <w:rFonts w:ascii="Arial" w:cs="Arial" w:eastAsia="Arial" w:hAnsi="Arial"/>
          <w:sz w:val="19"/>
          <w:szCs w:val="19"/>
          <w:color w:val="auto"/>
        </w:rPr>
      </w:pPr>
      <w:r>
        <w:rPr>
          <w:rFonts w:ascii="Arial" w:cs="Arial" w:eastAsia="Arial" w:hAnsi="Arial"/>
          <w:sz w:val="19"/>
          <w:szCs w:val="19"/>
          <w:color w:val="auto"/>
        </w:rPr>
        <w:t>In the event of a Participant’s Qualified Retirement, shares subject to performance-based RSUs that would otherwise vest within twelve (12) months following his or her Qualified Retirement shall continue to vest as if Participant had remained continuously employed by the Company through the vest date (as defined in the Notice of Grant) next following the Participant’s Qualified Retirement, based on the extent, if any, that the underlying performance criteria with respect to such awards are satisfied for the applicable performance period (and the remainder of such performance-based RSUs that do not become vested pursuant to this Section 8(b), if any, shall be forfeited and cancelled for no additional consideration).</w:t>
      </w:r>
    </w:p>
    <w:p>
      <w:pPr>
        <w:spacing w:after="0" w:line="177" w:lineRule="exact"/>
        <w:rPr>
          <w:rFonts w:ascii="Arial" w:cs="Arial" w:eastAsia="Arial" w:hAnsi="Arial"/>
          <w:sz w:val="19"/>
          <w:szCs w:val="19"/>
          <w:color w:val="auto"/>
        </w:rPr>
      </w:pPr>
    </w:p>
    <w:p>
      <w:pPr>
        <w:jc w:val="both"/>
        <w:ind w:firstLine="1351"/>
        <w:spacing w:after="0" w:line="238" w:lineRule="auto"/>
        <w:tabs>
          <w:tab w:leader="none" w:pos="1634" w:val="left"/>
        </w:tabs>
        <w:numPr>
          <w:ilvl w:val="2"/>
          <w:numId w:val="78"/>
        </w:numPr>
        <w:rPr>
          <w:rFonts w:ascii="Arial" w:cs="Arial" w:eastAsia="Arial" w:hAnsi="Arial"/>
          <w:sz w:val="19"/>
          <w:szCs w:val="19"/>
          <w:color w:val="auto"/>
        </w:rPr>
      </w:pPr>
      <w:r>
        <w:rPr>
          <w:rFonts w:ascii="Arial" w:cs="Arial" w:eastAsia="Arial" w:hAnsi="Arial"/>
          <w:sz w:val="19"/>
          <w:szCs w:val="19"/>
          <w:color w:val="auto"/>
        </w:rPr>
        <w:t>For the purposes of this Plan, “Qualified Retirement,” shall be defined as a voluntary termination of employment by Participant, which meets either of the following requirements: (i) Participant’s combined total age plus years of employment with the Company is equal to or greater than 75 or (ii) Participant is at least 55 years of age and completes at least 10 years of employment with the Company. Unless waived by the Administrator, in order for such voluntary termination to be deemed a Qualified Retirement, Participant shall properly deliver written notice of his or her intent to resign employment with the Company in a Qualified Retirement at least 3 months prior to the effective date of such Qualified Retirement.</w:t>
      </w:r>
    </w:p>
    <w:p>
      <w:pPr>
        <w:spacing w:after="0" w:line="177" w:lineRule="exact"/>
        <w:rPr>
          <w:rFonts w:ascii="Arial" w:cs="Arial" w:eastAsia="Arial" w:hAnsi="Arial"/>
          <w:sz w:val="19"/>
          <w:szCs w:val="19"/>
          <w:color w:val="auto"/>
        </w:rPr>
      </w:pPr>
    </w:p>
    <w:p>
      <w:pPr>
        <w:jc w:val="both"/>
        <w:ind w:firstLine="639"/>
        <w:spacing w:after="0" w:line="249" w:lineRule="auto"/>
        <w:tabs>
          <w:tab w:leader="none" w:pos="82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70" w:lineRule="exact"/>
        <w:rPr>
          <w:sz w:val="20"/>
          <w:szCs w:val="20"/>
          <w:color w:val="auto"/>
        </w:rPr>
      </w:pPr>
    </w:p>
    <w:p>
      <w:pPr>
        <w:ind w:firstLine="633"/>
        <w:spacing w:after="0" w:line="262" w:lineRule="auto"/>
        <w:rPr>
          <w:sz w:val="20"/>
          <w:szCs w:val="20"/>
          <w:color w:val="auto"/>
        </w:rPr>
      </w:pPr>
      <w:r>
        <w:rPr>
          <w:rFonts w:ascii="Arial" w:cs="Arial" w:eastAsia="Arial" w:hAnsi="Arial"/>
          <w:sz w:val="19"/>
          <w:szCs w:val="19"/>
          <w:color w:val="auto"/>
        </w:rPr>
        <w:t>In this regard, Participant authorizes the Company and/or the Employer, or their respective agents, at their discretion, to satisfy any obligations with regard to withholding of Tax-Related Items by one or a combination of the following:</w:t>
      </w:r>
    </w:p>
    <w:p>
      <w:pPr>
        <w:spacing w:after="0" w:line="156" w:lineRule="exact"/>
        <w:rPr>
          <w:sz w:val="20"/>
          <w:szCs w:val="20"/>
          <w:color w:val="auto"/>
        </w:rPr>
      </w:pPr>
    </w:p>
    <w:p>
      <w:pPr>
        <w:ind w:left="640" w:right="280" w:hanging="318"/>
        <w:spacing w:after="0" w:line="276" w:lineRule="auto"/>
        <w:tabs>
          <w:tab w:leader="none" w:pos="638" w:val="left"/>
        </w:tabs>
        <w:numPr>
          <w:ilvl w:val="0"/>
          <w:numId w:val="79"/>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 and/or the Employer, including withholding from cash from Participant’s brokerage account designated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89" w:right="339" w:bottom="1440" w:gutter="0" w:footer="0" w:header="0"/>
        </w:sectPr>
      </w:pPr>
    </w:p>
    <w:bookmarkStart w:id="118" w:name="page119"/>
    <w:bookmarkEnd w:id="118"/>
    <w:p>
      <w:pPr>
        <w:jc w:val="both"/>
        <w:ind w:left="640" w:right="740" w:hanging="318"/>
        <w:spacing w:after="0" w:line="337" w:lineRule="auto"/>
        <w:tabs>
          <w:tab w:leader="none" w:pos="6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vesting/settlement of the Restricted Stock Units either through a voluntary sale or through a mandatory sale arranged by the Company (on Participant’s behalf pursuant to this authorization); or</w:t>
      </w:r>
    </w:p>
    <w:p>
      <w:pPr>
        <w:spacing w:after="0" w:line="136" w:lineRule="exact"/>
        <w:rPr>
          <w:rFonts w:ascii="Arial" w:cs="Arial" w:eastAsia="Arial" w:hAnsi="Arial"/>
          <w:sz w:val="17"/>
          <w:szCs w:val="17"/>
          <w:color w:val="auto"/>
        </w:rPr>
      </w:pPr>
    </w:p>
    <w:p>
      <w:pPr>
        <w:ind w:left="640" w:hanging="318"/>
        <w:spacing w:after="0"/>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Restricted Stock Units.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withhold or account for Tax-Related Items by using rates up to, but not exceeding, the maximum tax rates in Participant’s jurisdiction on the date the amount of Tax-Related Items to be withheld is to be determined. Participant may receive a refund in cash of any amount withheld that exceeds the amount remitted to the applicable tax authorities and will have no entitlement to the Common Stock equivalent or to any interest on such over-withheld amount.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9"/>
          <w:szCs w:val="19"/>
          <w:color w:val="auto"/>
        </w:rPr>
        <w:t>Notwithstanding (i) through (iii) above, if Participant is subject to Section 17 of the Exchange Act, any obligation to withhold Tax-Related Items will be satisfied under (iii), unless otherwise determined by the Board or Compensation Committee.</w:t>
      </w:r>
    </w:p>
    <w:p>
      <w:pPr>
        <w:spacing w:after="0" w:line="156" w:lineRule="exact"/>
        <w:rPr>
          <w:sz w:val="20"/>
          <w:szCs w:val="20"/>
          <w:color w:val="auto"/>
        </w:rPr>
      </w:pPr>
    </w:p>
    <w:p>
      <w:pPr>
        <w:jc w:val="both"/>
        <w:ind w:firstLine="633"/>
        <w:spacing w:after="0" w:line="241"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8" w:lineRule="exact"/>
        <w:rPr>
          <w:sz w:val="20"/>
          <w:szCs w:val="20"/>
          <w:color w:val="auto"/>
        </w:rPr>
      </w:pPr>
    </w:p>
    <w:p>
      <w:pPr>
        <w:ind w:right="140" w:firstLine="639"/>
        <w:spacing w:after="0" w:line="238" w:lineRule="auto"/>
        <w:tabs>
          <w:tab w:leader="none" w:pos="92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w:t>
      </w:r>
    </w:p>
    <w:p>
      <w:pPr>
        <w:spacing w:after="0" w:line="177" w:lineRule="exact"/>
        <w:rPr>
          <w:rFonts w:ascii="Arial" w:cs="Arial" w:eastAsia="Arial" w:hAnsi="Arial"/>
          <w:sz w:val="19"/>
          <w:szCs w:val="19"/>
          <w:color w:val="auto"/>
        </w:rPr>
      </w:pPr>
    </w:p>
    <w:p>
      <w:pPr>
        <w:jc w:val="both"/>
        <w:ind w:firstLine="639"/>
        <w:spacing w:after="0" w:line="250" w:lineRule="auto"/>
        <w:tabs>
          <w:tab w:leader="none" w:pos="92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Employment</w:t>
      </w:r>
      <w:r>
        <w:rPr>
          <w:rFonts w:ascii="Arial" w:cs="Arial" w:eastAsia="Arial" w:hAnsi="Arial"/>
          <w:sz w:val="18"/>
          <w:szCs w:val="18"/>
          <w:color w:val="auto"/>
        </w:rPr>
        <w:t>. PARTICIPANT ACKNOWLEDGES AND AGREES THAT THE VESTING OF THE RESTRICTED STOCK UNITS PURSUANT TO THE VESTING SCHEDULE HEREOF IS EARNED ONLY BY CONTINUING AS AN EMPLOYEE AT THE WILL OF THE COMPANY (OR THE EMPLOYER) AND NOT THROUGH THE ACT OF BEING HIRED, BEING GRANTED THIS AWARD OF RESTRICTED STOCK UNITS OR, AS APPLICABLE, ACQUIRING SHARES HEREUNDER. PARTICIPANT FURTHER ACKNOWLEDGES AND AGREES THAT THIS 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spacing w:after="0" w:line="169" w:lineRule="exact"/>
        <w:rPr>
          <w:rFonts w:ascii="Arial" w:cs="Arial" w:eastAsia="Arial" w:hAnsi="Arial"/>
          <w:sz w:val="18"/>
          <w:szCs w:val="18"/>
          <w:color w:val="auto"/>
        </w:rPr>
      </w:pPr>
    </w:p>
    <w:p>
      <w:pPr>
        <w:jc w:val="both"/>
        <w:ind w:firstLine="639"/>
        <w:spacing w:after="0" w:line="247" w:lineRule="auto"/>
        <w:tabs>
          <w:tab w:leader="none" w:pos="94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Address for Notices</w:t>
      </w:r>
      <w:r>
        <w:rPr>
          <w:rFonts w:ascii="Arial" w:cs="Arial" w:eastAsia="Arial" w:hAnsi="Arial"/>
          <w:sz w:val="19"/>
          <w:szCs w:val="19"/>
          <w:color w:val="auto"/>
        </w:rPr>
        <w:t xml:space="preserve">. Unless otherwise specified in Exhibit B, any notice to be given to the Company under the terms of this Agreement will be addressed to the Company at Autodesk, Inc., c/o Stock Administrator, </w:t>
      </w:r>
      <w:r>
        <w:rPr>
          <w:rFonts w:ascii="Arial" w:cs="Arial" w:eastAsia="Arial" w:hAnsi="Arial"/>
          <w:sz w:val="19"/>
          <w:szCs w:val="19"/>
          <w:b w:val="1"/>
          <w:bCs w:val="1"/>
          <w:color w:val="auto"/>
        </w:rPr>
        <w:t>111 McInnis Parkway, San Rafael, CA 94903</w:t>
      </w:r>
      <w:r>
        <w:rPr>
          <w:rFonts w:ascii="Arial" w:cs="Arial" w:eastAsia="Arial" w:hAnsi="Arial"/>
          <w:sz w:val="19"/>
          <w:szCs w:val="19"/>
          <w:color w:val="auto"/>
        </w:rPr>
        <w:t xml:space="preserve"> </w:t>
      </w:r>
      <w:r>
        <w:rPr>
          <w:rFonts w:ascii="Arial" w:cs="Arial" w:eastAsia="Arial" w:hAnsi="Arial"/>
          <w:sz w:val="19"/>
          <w:szCs w:val="19"/>
          <w:b w:val="1"/>
          <w:bCs w:val="1"/>
          <w:color w:val="auto"/>
        </w:rPr>
        <w:t>U.S.A.</w:t>
      </w:r>
      <w:r>
        <w:rPr>
          <w:rFonts w:ascii="Arial" w:cs="Arial" w:eastAsia="Arial" w:hAnsi="Arial"/>
          <w:sz w:val="19"/>
          <w:szCs w:val="19"/>
          <w:color w:val="auto"/>
        </w:rPr>
        <w:t>, or at such other address as the Company may hereafter designate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89" w:right="339" w:bottom="1440" w:gutter="0" w:footer="0" w:header="0"/>
        </w:sectPr>
      </w:pPr>
    </w:p>
    <w:bookmarkStart w:id="119" w:name="page120"/>
    <w:bookmarkEnd w:id="119"/>
    <w:p>
      <w:pPr>
        <w:jc w:val="both"/>
        <w:ind w:firstLine="639"/>
        <w:spacing w:after="0" w:line="256" w:lineRule="auto"/>
        <w:tabs>
          <w:tab w:leader="none" w:pos="93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162" w:lineRule="exact"/>
        <w:rPr>
          <w:rFonts w:ascii="Arial" w:cs="Arial" w:eastAsia="Arial" w:hAnsi="Arial"/>
          <w:sz w:val="18"/>
          <w:szCs w:val="18"/>
          <w:color w:val="auto"/>
        </w:rPr>
      </w:pPr>
    </w:p>
    <w:p>
      <w:pPr>
        <w:ind w:firstLine="639"/>
        <w:spacing w:after="0" w:line="262" w:lineRule="auto"/>
        <w:tabs>
          <w:tab w:leader="none" w:pos="93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6" w:lineRule="exact"/>
        <w:rPr>
          <w:rFonts w:ascii="Arial" w:cs="Arial" w:eastAsia="Arial" w:hAnsi="Arial"/>
          <w:sz w:val="19"/>
          <w:szCs w:val="19"/>
          <w:color w:val="auto"/>
        </w:rPr>
      </w:pPr>
    </w:p>
    <w:p>
      <w:pPr>
        <w:jc w:val="both"/>
        <w:ind w:firstLine="639"/>
        <w:spacing w:after="0" w:line="236" w:lineRule="auto"/>
        <w:tabs>
          <w:tab w:leader="none" w:pos="92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 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80" w:lineRule="exact"/>
        <w:rPr>
          <w:sz w:val="20"/>
          <w:szCs w:val="20"/>
          <w:color w:val="auto"/>
        </w:rPr>
      </w:pPr>
    </w:p>
    <w:p>
      <w:pPr>
        <w:jc w:val="both"/>
        <w:ind w:firstLine="633"/>
        <w:spacing w:after="0" w:line="238" w:lineRule="auto"/>
        <w:rPr>
          <w:sz w:val="20"/>
          <w:szCs w:val="20"/>
          <w:color w:val="auto"/>
        </w:rPr>
      </w:pPr>
      <w:r>
        <w:rPr>
          <w:rFonts w:ascii="Arial" w:cs="Arial" w:eastAsia="Arial" w:hAnsi="Arial"/>
          <w:sz w:val="19"/>
          <w:szCs w:val="19"/>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spacing w:after="0" w:line="177" w:lineRule="exact"/>
        <w:rPr>
          <w:sz w:val="20"/>
          <w:szCs w:val="20"/>
          <w:color w:val="auto"/>
        </w:rPr>
      </w:pPr>
    </w:p>
    <w:p>
      <w:pPr>
        <w:jc w:val="both"/>
        <w:ind w:firstLine="639"/>
        <w:spacing w:after="0" w:line="247" w:lineRule="auto"/>
        <w:tabs>
          <w:tab w:leader="none" w:pos="92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w:t>
      </w:r>
    </w:p>
    <w:p>
      <w:pPr>
        <w:spacing w:after="0" w:line="169" w:lineRule="exact"/>
        <w:rPr>
          <w:rFonts w:ascii="Arial" w:cs="Arial" w:eastAsia="Arial" w:hAnsi="Arial"/>
          <w:sz w:val="19"/>
          <w:szCs w:val="19"/>
          <w:color w:val="auto"/>
        </w:rPr>
      </w:pPr>
    </w:p>
    <w:p>
      <w:pPr>
        <w:jc w:val="both"/>
        <w:ind w:firstLine="639"/>
        <w:spacing w:after="0" w:line="271" w:lineRule="auto"/>
        <w:tabs>
          <w:tab w:leader="none" w:pos="92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52" w:lineRule="exact"/>
        <w:rPr>
          <w:rFonts w:ascii="Arial" w:cs="Arial" w:eastAsia="Arial" w:hAnsi="Arial"/>
          <w:sz w:val="17"/>
          <w:szCs w:val="17"/>
          <w:color w:val="auto"/>
        </w:rPr>
      </w:pPr>
    </w:p>
    <w:p>
      <w:pPr>
        <w:jc w:val="both"/>
        <w:ind w:firstLine="639"/>
        <w:spacing w:after="0" w:line="247" w:lineRule="auto"/>
        <w:tabs>
          <w:tab w:leader="none" w:pos="93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89" w:right="339" w:bottom="1440" w:gutter="0" w:footer="0" w:header="0"/>
        </w:sectPr>
      </w:pPr>
    </w:p>
    <w:bookmarkStart w:id="120" w:name="page121"/>
    <w:bookmarkEnd w:id="120"/>
    <w:p>
      <w:pPr>
        <w:spacing w:after="0" w:line="290" w:lineRule="auto"/>
        <w:rPr>
          <w:sz w:val="20"/>
          <w:szCs w:val="20"/>
          <w:color w:val="auto"/>
        </w:rPr>
      </w:pPr>
      <w:r>
        <w:rPr>
          <w:rFonts w:ascii="Arial" w:cs="Arial" w:eastAsia="Arial" w:hAnsi="Arial"/>
          <w:sz w:val="18"/>
          <w:szCs w:val="18"/>
          <w:color w:val="auto"/>
        </w:rPr>
        <w:t>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33" w:lineRule="exact"/>
        <w:rPr>
          <w:sz w:val="20"/>
          <w:szCs w:val="20"/>
          <w:color w:val="auto"/>
        </w:rPr>
      </w:pPr>
    </w:p>
    <w:p>
      <w:pPr>
        <w:ind w:left="920" w:hanging="281"/>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Agreement.</w:t>
      </w:r>
    </w:p>
    <w:p>
      <w:pPr>
        <w:spacing w:after="0" w:line="187" w:lineRule="exact"/>
        <w:rPr>
          <w:rFonts w:ascii="Arial" w:cs="Arial" w:eastAsia="Arial" w:hAnsi="Arial"/>
          <w:sz w:val="17"/>
          <w:szCs w:val="17"/>
          <w:color w:val="auto"/>
        </w:rPr>
      </w:pPr>
    </w:p>
    <w:p>
      <w:pPr>
        <w:jc w:val="both"/>
        <w:ind w:firstLine="639"/>
        <w:spacing w:after="0" w:line="247" w:lineRule="auto"/>
        <w:tabs>
          <w:tab w:leader="none" w:pos="92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69" w:lineRule="exact"/>
        <w:rPr>
          <w:rFonts w:ascii="Arial" w:cs="Arial" w:eastAsia="Arial" w:hAnsi="Arial"/>
          <w:sz w:val="19"/>
          <w:szCs w:val="19"/>
          <w:color w:val="auto"/>
        </w:rPr>
      </w:pPr>
    </w:p>
    <w:p>
      <w:pPr>
        <w:jc w:val="both"/>
        <w:ind w:firstLine="639"/>
        <w:spacing w:after="0" w:line="252" w:lineRule="auto"/>
        <w:tabs>
          <w:tab w:leader="none" w:pos="92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Modifications to the Agreement</w:t>
      </w:r>
      <w:r>
        <w:rPr>
          <w:rFonts w:ascii="Arial" w:cs="Arial" w:eastAsia="Arial" w:hAnsi="Arial"/>
          <w:sz w:val="18"/>
          <w:szCs w:val="18"/>
          <w:color w:val="auto"/>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spacing w:after="0" w:line="166" w:lineRule="exact"/>
        <w:rPr>
          <w:rFonts w:ascii="Arial" w:cs="Arial" w:eastAsia="Arial" w:hAnsi="Arial"/>
          <w:sz w:val="18"/>
          <w:szCs w:val="18"/>
          <w:color w:val="auto"/>
        </w:rPr>
      </w:pPr>
    </w:p>
    <w:p>
      <w:pPr>
        <w:jc w:val="both"/>
        <w:ind w:firstLine="639"/>
        <w:spacing w:after="0" w:line="267" w:lineRule="auto"/>
        <w:tabs>
          <w:tab w:leader="none" w:pos="93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3" w:lineRule="exact"/>
        <w:rPr>
          <w:rFonts w:ascii="Arial" w:cs="Arial" w:eastAsia="Arial" w:hAnsi="Arial"/>
          <w:sz w:val="18"/>
          <w:szCs w:val="18"/>
          <w:color w:val="auto"/>
        </w:rPr>
      </w:pPr>
    </w:p>
    <w:p>
      <w:pPr>
        <w:jc w:val="both"/>
        <w:ind w:firstLine="639"/>
        <w:spacing w:after="0" w:line="256" w:lineRule="auto"/>
        <w:tabs>
          <w:tab w:leader="none" w:pos="93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Award and the provisions of this Agreement shall be governed by, and subject to, the laws of the State of California, without giving effect to the 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Arial" w:cs="Arial" w:eastAsia="Arial" w:hAnsi="Arial"/>
          <w:sz w:val="18"/>
          <w:szCs w:val="18"/>
          <w:b w:val="1"/>
          <w:bCs w:val="1"/>
          <w:color w:val="auto"/>
        </w:rPr>
        <w:t>Marin County, California</w:t>
      </w:r>
      <w:r>
        <w:rPr>
          <w:rFonts w:ascii="Arial" w:cs="Arial" w:eastAsia="Arial" w:hAnsi="Arial"/>
          <w:sz w:val="18"/>
          <w:szCs w:val="18"/>
          <w:color w:val="auto"/>
        </w:rPr>
        <w:t>, or the federal courts for the United States for the Northern District of California, and no other courts, where this Award of Restricted Stock Units is made and/or to be performed.</w:t>
      </w:r>
    </w:p>
    <w:p>
      <w:pPr>
        <w:spacing w:after="0" w:line="162" w:lineRule="exact"/>
        <w:rPr>
          <w:rFonts w:ascii="Arial" w:cs="Arial" w:eastAsia="Arial" w:hAnsi="Arial"/>
          <w:sz w:val="18"/>
          <w:szCs w:val="18"/>
          <w:color w:val="auto"/>
        </w:rPr>
      </w:pPr>
    </w:p>
    <w:p>
      <w:pPr>
        <w:jc w:val="both"/>
        <w:ind w:firstLine="639"/>
        <w:spacing w:after="0" w:line="259" w:lineRule="auto"/>
        <w:tabs>
          <w:tab w:leader="none" w:pos="92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By electing to accept this Agreement, Participant acknowledges that he or she is sufficiently proficient in English, or has consulted with an advisor who is sufficiently proficient in English so as to allow Participant, to understand the terms and conditions of this Agreement. Further,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Arial" w:cs="Arial" w:eastAsia="Arial" w:hAnsi="Arial"/>
          <w:sz w:val="18"/>
          <w:szCs w:val="18"/>
          <w:color w:val="auto"/>
        </w:rPr>
      </w:pPr>
    </w:p>
    <w:p>
      <w:pPr>
        <w:ind w:left="920" w:hanging="281"/>
        <w:spacing w:after="0"/>
        <w:tabs>
          <w:tab w:leader="none" w:pos="92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Restricted Stock Unit Award, Participant acknowledges that:</w:t>
      </w:r>
    </w:p>
    <w:p>
      <w:pPr>
        <w:spacing w:after="0" w:line="204" w:lineRule="exact"/>
        <w:rPr>
          <w:sz w:val="20"/>
          <w:szCs w:val="20"/>
          <w:color w:val="auto"/>
        </w:rPr>
      </w:pPr>
    </w:p>
    <w:p>
      <w:pPr>
        <w:jc w:val="both"/>
        <w:ind w:firstLine="639"/>
        <w:spacing w:after="0" w:line="241" w:lineRule="auto"/>
        <w:tabs>
          <w:tab w:leader="none" w:pos="909"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8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 Company, in its sole discretion, shall determine whether Participant’s service has terminated and the effective date of such termination.</w:t>
      </w:r>
    </w:p>
    <w:p>
      <w:pPr>
        <w:spacing w:after="0" w:line="215" w:lineRule="exact"/>
        <w:rPr>
          <w:sz w:val="20"/>
          <w:szCs w:val="20"/>
          <w:color w:val="auto"/>
        </w:rPr>
      </w:pPr>
    </w:p>
    <w:p>
      <w:pPr>
        <w:ind w:firstLine="639"/>
        <w:spacing w:after="0" w:line="262" w:lineRule="auto"/>
        <w:tabs>
          <w:tab w:leader="none" w:pos="9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56" w:lineRule="exact"/>
        <w:rPr>
          <w:rFonts w:ascii="Arial" w:cs="Arial" w:eastAsia="Arial" w:hAnsi="Arial"/>
          <w:sz w:val="19"/>
          <w:szCs w:val="19"/>
          <w:color w:val="auto"/>
        </w:rPr>
      </w:pPr>
    </w:p>
    <w:p>
      <w:pPr>
        <w:jc w:val="both"/>
        <w:ind w:firstLine="639"/>
        <w:spacing w:after="0" w:line="247" w:lineRule="auto"/>
        <w:tabs>
          <w:tab w:leader="none" w:pos="89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169" w:lineRule="exact"/>
        <w:rPr>
          <w:rFonts w:ascii="Arial" w:cs="Arial" w:eastAsia="Arial" w:hAnsi="Arial"/>
          <w:sz w:val="19"/>
          <w:szCs w:val="19"/>
          <w:color w:val="auto"/>
        </w:rPr>
      </w:pPr>
    </w:p>
    <w:p>
      <w:pPr>
        <w:ind w:left="920" w:hanging="281"/>
        <w:spacing w:after="0"/>
        <w:tabs>
          <w:tab w:leader="none" w:pos="9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Participant’s participation in the Plan shall not create a right to continued service with the Company (or any Subsidiary).</w:t>
      </w:r>
    </w:p>
    <w:p>
      <w:pPr>
        <w:spacing w:after="0" w:line="203" w:lineRule="exact"/>
        <w:rPr>
          <w:rFonts w:ascii="Arial" w:cs="Arial" w:eastAsia="Arial" w:hAnsi="Arial"/>
          <w:sz w:val="19"/>
          <w:szCs w:val="19"/>
          <w:color w:val="auto"/>
        </w:rPr>
      </w:pPr>
    </w:p>
    <w:p>
      <w:pPr>
        <w:ind w:left="900" w:hanging="261"/>
        <w:spacing w:after="0"/>
        <w:tabs>
          <w:tab w:leader="none" w:pos="9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Participant is voluntarily participating in the Plan.</w:t>
      </w:r>
    </w:p>
    <w:p>
      <w:pPr>
        <w:spacing w:after="0" w:line="203" w:lineRule="exact"/>
        <w:rPr>
          <w:rFonts w:ascii="Arial" w:cs="Arial" w:eastAsia="Arial" w:hAnsi="Arial"/>
          <w:sz w:val="19"/>
          <w:szCs w:val="19"/>
          <w:color w:val="auto"/>
        </w:rPr>
      </w:pPr>
    </w:p>
    <w:p>
      <w:pPr>
        <w:jc w:val="both"/>
        <w:ind w:firstLine="639"/>
        <w:spacing w:after="0" w:line="239" w:lineRule="auto"/>
        <w:tabs>
          <w:tab w:leader="none" w:pos="874"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spacing w:after="0" w:line="178" w:lineRule="exact"/>
        <w:rPr>
          <w:rFonts w:ascii="Arial" w:cs="Arial" w:eastAsia="Arial" w:hAnsi="Arial"/>
          <w:sz w:val="19"/>
          <w:szCs w:val="19"/>
          <w:color w:val="auto"/>
        </w:rPr>
      </w:pPr>
    </w:p>
    <w:p>
      <w:pPr>
        <w:jc w:val="both"/>
        <w:ind w:firstLine="639"/>
        <w:spacing w:after="0" w:line="241" w:lineRule="auto"/>
        <w:tabs>
          <w:tab w:leader="none" w:pos="907"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Restricted Stock Unit Award is not part of normal or expected compensation or salary for any purpose, including, but not limited to, calculating any severance payments, resignation, termination, redundancy, end-of-service payments, bonuses, long-service awards, pension or retirement benefits or similar payments. This applies to any payment even in those jurisdictions requiring such payments upon termination of employment.</w:t>
      </w:r>
    </w:p>
    <w:p>
      <w:pPr>
        <w:spacing w:after="0" w:line="177" w:lineRule="exact"/>
        <w:rPr>
          <w:rFonts w:ascii="Arial" w:cs="Arial" w:eastAsia="Arial" w:hAnsi="Arial"/>
          <w:sz w:val="19"/>
          <w:szCs w:val="19"/>
          <w:color w:val="auto"/>
        </w:rPr>
      </w:pPr>
    </w:p>
    <w:p>
      <w:pPr>
        <w:ind w:firstLine="639"/>
        <w:spacing w:after="0" w:line="262" w:lineRule="auto"/>
        <w:tabs>
          <w:tab w:leader="none" w:pos="9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Restricted Stock Unit Award will not be interpreted to form an employment contract or relationship with the Company; and furthermore the Restricted Stock Unit Award will not be interpreted to form an employment contract with any Subsidiary.</w:t>
      </w:r>
    </w:p>
    <w:p>
      <w:pPr>
        <w:spacing w:after="0" w:line="156" w:lineRule="exact"/>
        <w:rPr>
          <w:rFonts w:ascii="Arial" w:cs="Arial" w:eastAsia="Arial" w:hAnsi="Arial"/>
          <w:sz w:val="19"/>
          <w:szCs w:val="19"/>
          <w:color w:val="auto"/>
        </w:rPr>
      </w:pPr>
    </w:p>
    <w:p>
      <w:pPr>
        <w:ind w:firstLine="639"/>
        <w:spacing w:after="0" w:line="262" w:lineRule="auto"/>
        <w:tabs>
          <w:tab w:leader="none" w:pos="877"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156" w:lineRule="exact"/>
        <w:rPr>
          <w:rFonts w:ascii="Arial" w:cs="Arial" w:eastAsia="Arial" w:hAnsi="Arial"/>
          <w:sz w:val="19"/>
          <w:szCs w:val="19"/>
          <w:color w:val="auto"/>
        </w:rPr>
      </w:pPr>
    </w:p>
    <w:p>
      <w:pPr>
        <w:ind w:firstLine="639"/>
        <w:spacing w:after="0" w:line="262" w:lineRule="auto"/>
        <w:tabs>
          <w:tab w:leader="none" w:pos="89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This Restricted Stock Unit Award has been granted to Participant in Participant’s status as an Employee of the Company or its Subsidiaries.</w:t>
      </w:r>
    </w:p>
    <w:p>
      <w:pPr>
        <w:spacing w:after="0" w:line="156" w:lineRule="exact"/>
        <w:rPr>
          <w:rFonts w:ascii="Arial" w:cs="Arial" w:eastAsia="Arial" w:hAnsi="Arial"/>
          <w:sz w:val="19"/>
          <w:szCs w:val="19"/>
          <w:color w:val="auto"/>
        </w:rPr>
      </w:pPr>
    </w:p>
    <w:p>
      <w:pPr>
        <w:ind w:left="920" w:hanging="281"/>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shall be no additional obligations for any Subsidiary employing Participant as a result of this Restricted Stock Unit Award.</w:t>
      </w:r>
    </w:p>
    <w:p>
      <w:pPr>
        <w:spacing w:after="0" w:line="215" w:lineRule="exact"/>
        <w:rPr>
          <w:rFonts w:ascii="Arial" w:cs="Arial" w:eastAsia="Arial" w:hAnsi="Arial"/>
          <w:sz w:val="18"/>
          <w:szCs w:val="18"/>
          <w:color w:val="auto"/>
        </w:rPr>
      </w:pPr>
    </w:p>
    <w:p>
      <w:pPr>
        <w:ind w:left="860" w:hanging="221"/>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Units or other grants, if any, will be at the sole discretion of the Company.</w:t>
      </w:r>
    </w:p>
    <w:p>
      <w:pPr>
        <w:spacing w:after="0" w:line="215" w:lineRule="exact"/>
        <w:rPr>
          <w:rFonts w:ascii="Arial" w:cs="Arial" w:eastAsia="Arial" w:hAnsi="Arial"/>
          <w:sz w:val="18"/>
          <w:szCs w:val="18"/>
          <w:color w:val="auto"/>
        </w:rPr>
      </w:pPr>
    </w:p>
    <w:p>
      <w:pPr>
        <w:ind w:firstLine="639"/>
        <w:spacing w:after="0" w:line="262" w:lineRule="auto"/>
        <w:tabs>
          <w:tab w:leader="none" w:pos="9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Restricted Stock Unit and the Shares subject to the Restricted Stock Units, and the income and value of same, are not intended to replace any pension rights or compensation.</w:t>
      </w:r>
    </w:p>
    <w:p>
      <w:pPr>
        <w:spacing w:after="0" w:line="156" w:lineRule="exact"/>
        <w:rPr>
          <w:rFonts w:ascii="Arial" w:cs="Arial" w:eastAsia="Arial" w:hAnsi="Arial"/>
          <w:sz w:val="19"/>
          <w:szCs w:val="19"/>
          <w:color w:val="auto"/>
        </w:rPr>
      </w:pPr>
    </w:p>
    <w:p>
      <w:pPr>
        <w:ind w:left="920" w:hanging="281"/>
        <w:spacing w:after="0"/>
        <w:tabs>
          <w:tab w:leader="none" w:pos="9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following provisions apply only if Participant is providing services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89" w:right="339" w:bottom="1440" w:gutter="0" w:footer="0" w:header="0"/>
        </w:sectPr>
      </w:pPr>
    </w:p>
    <w:bookmarkStart w:id="122" w:name="page123"/>
    <w:bookmarkEnd w:id="122"/>
    <w:p>
      <w:pPr>
        <w:ind w:firstLine="639"/>
        <w:spacing w:after="0" w:line="262" w:lineRule="auto"/>
        <w:tabs>
          <w:tab w:leader="none" w:pos="877"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are not part of normal or expected compensation or salary for any purpose;</w:t>
      </w:r>
    </w:p>
    <w:p>
      <w:pPr>
        <w:spacing w:after="0" w:line="156" w:lineRule="exact"/>
        <w:rPr>
          <w:rFonts w:ascii="Arial" w:cs="Arial" w:eastAsia="Arial" w:hAnsi="Arial"/>
          <w:sz w:val="19"/>
          <w:szCs w:val="19"/>
          <w:color w:val="auto"/>
        </w:rPr>
      </w:pPr>
    </w:p>
    <w:p>
      <w:pPr>
        <w:jc w:val="both"/>
        <w:ind w:firstLine="1272"/>
        <w:spacing w:after="0" w:line="241" w:lineRule="auto"/>
        <w:tabs>
          <w:tab w:leader="none" w:pos="1550" w:val="left"/>
        </w:tabs>
        <w:numPr>
          <w:ilvl w:val="1"/>
          <w:numId w:val="87"/>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of the Company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7" w:lineRule="exact"/>
        <w:rPr>
          <w:rFonts w:ascii="Arial" w:cs="Arial" w:eastAsia="Arial" w:hAnsi="Arial"/>
          <w:sz w:val="19"/>
          <w:szCs w:val="19"/>
          <w:color w:val="auto"/>
        </w:rPr>
      </w:pPr>
    </w:p>
    <w:p>
      <w:pPr>
        <w:jc w:val="both"/>
        <w:ind w:firstLine="1272"/>
        <w:spacing w:after="0" w:line="239" w:lineRule="auto"/>
        <w:tabs>
          <w:tab w:leader="none" w:pos="16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the Employer or any of the other Subsidiaries or affiliates of the Company.</w:t>
      </w:r>
    </w:p>
    <w:p>
      <w:pPr>
        <w:spacing w:after="0" w:line="172" w:lineRule="exact"/>
        <w:rPr>
          <w:sz w:val="20"/>
          <w:szCs w:val="20"/>
          <w:color w:val="auto"/>
        </w:rPr>
      </w:pPr>
    </w:p>
    <w:p>
      <w:pPr>
        <w:ind w:left="920" w:hanging="281"/>
        <w:spacing w:after="0"/>
        <w:tabs>
          <w:tab w:leader="none" w:pos="920"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Information and Consent</w:t>
      </w:r>
      <w:r>
        <w:rPr>
          <w:rFonts w:ascii="Arial" w:cs="Arial" w:eastAsia="Arial" w:hAnsi="Arial"/>
          <w:sz w:val="19"/>
          <w:szCs w:val="19"/>
          <w:color w:val="auto"/>
        </w:rPr>
        <w:t>.</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is located at 111 McInnis Parkway, San Rafael, CA 94903 U.S.A. and grants Restricted Stock Units to Employees of the Company and its Subsidiaries and affiliates, at its sole discretion. If Participant would like to participate in the Plan, he or she should review the following information about the Company’s data processing practices and declare his or her consent.</w:t>
      </w:r>
    </w:p>
    <w:p>
      <w:pPr>
        <w:spacing w:after="0" w:line="153" w:lineRule="exact"/>
        <w:rPr>
          <w:sz w:val="20"/>
          <w:szCs w:val="20"/>
          <w:color w:val="auto"/>
        </w:rPr>
      </w:pPr>
    </w:p>
    <w:p>
      <w:pPr>
        <w:jc w:val="both"/>
        <w:ind w:firstLine="639"/>
        <w:spacing w:after="0" w:line="291" w:lineRule="auto"/>
        <w:tabs>
          <w:tab w:leader="none" w:pos="1305"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Employees, including name, home address, email address and telephone number, date of birth, social insurance, passport or other identification number, salary, citizenship, job title, any Shares or directorships held in the Company, and details of all Restricted Stock Units canceled, vested, or outstanding in Participant’s favor, which the Company receives from Participant or the Employer. If the Company offers Participant a grant of Restricted Stock Units under the Plan, then the Company will collect his or her personal data for purposes of allocating shares and implementing, administering and managing the Plan. The Company’s legal basis for the processing of Participant’s personal data will be his or her consent.</w:t>
      </w:r>
    </w:p>
    <w:p>
      <w:pPr>
        <w:spacing w:after="0" w:line="138" w:lineRule="exact"/>
        <w:rPr>
          <w:rFonts w:ascii="Arial" w:cs="Arial" w:eastAsia="Arial" w:hAnsi="Arial"/>
          <w:sz w:val="16"/>
          <w:szCs w:val="16"/>
          <w:color w:val="auto"/>
        </w:rPr>
      </w:pPr>
    </w:p>
    <w:p>
      <w:pPr>
        <w:jc w:val="both"/>
        <w:ind w:firstLine="639"/>
        <w:spacing w:after="0" w:line="253" w:lineRule="auto"/>
        <w:tabs>
          <w:tab w:leader="none" w:pos="1254"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Employee data to E*TRADE Financial Corporate Services, Inc. (“E*TRADE”) an independent service provider based in the United States which assists the Company with the implementation, administration and management of the Plan. In the future, the Company may select a different service provider and share Participant’s data with another company that serves in a similar manner. The Company’s service provider will open an account for Participant to receive and trade Shares. Participant will be asked to agree on separate terms and data processing practices with the service provider, which is a condition of Participant’s ability to participate in the Plan.</w:t>
      </w:r>
    </w:p>
    <w:p>
      <w:pPr>
        <w:spacing w:after="0" w:line="167" w:lineRule="exact"/>
        <w:rPr>
          <w:rFonts w:ascii="Arial" w:cs="Arial" w:eastAsia="Arial" w:hAnsi="Arial"/>
          <w:sz w:val="18"/>
          <w:szCs w:val="18"/>
          <w:color w:val="auto"/>
        </w:rPr>
      </w:pPr>
    </w:p>
    <w:p>
      <w:pPr>
        <w:jc w:val="both"/>
        <w:ind w:firstLine="639"/>
        <w:spacing w:after="0" w:line="274" w:lineRule="auto"/>
        <w:tabs>
          <w:tab w:leader="none" w:pos="1256"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its service providers are based in the United States. If Participant is outside the United States, he or she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The Company is Privacy Shield certified, and any transfer of your data from the EU to the U.S. is covered under this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89" w:right="339" w:bottom="1440" w:gutter="0" w:footer="0" w:header="0"/>
        </w:sectPr>
      </w:pPr>
    </w:p>
    <w:bookmarkStart w:id="123" w:name="page124"/>
    <w:bookmarkEnd w:id="123"/>
    <w:p>
      <w:pPr>
        <w:jc w:val="both"/>
        <w:ind w:firstLine="639"/>
        <w:spacing w:after="0" w:line="239" w:lineRule="auto"/>
        <w:tabs>
          <w:tab w:leader="none" w:pos="1254"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use Participant’s personal data only as long as is necessary to implement, administer and manage his or her participation in the Plan or as required to comply with legal or regulatory obligations, including under tax and security laws. When the Company no longer needs Participant’s personal data, the Company will remove it from its systems. The Company may keep data longer to satisfy legal or regulatory obligations, and the Company’s legal basis would be compliance with the relevant laws or regulations.</w:t>
      </w:r>
    </w:p>
    <w:p>
      <w:pPr>
        <w:spacing w:after="0" w:line="178" w:lineRule="exact"/>
        <w:rPr>
          <w:rFonts w:ascii="Arial" w:cs="Arial" w:eastAsia="Arial" w:hAnsi="Arial"/>
          <w:sz w:val="19"/>
          <w:szCs w:val="19"/>
          <w:color w:val="auto"/>
        </w:rPr>
      </w:pPr>
    </w:p>
    <w:p>
      <w:pPr>
        <w:jc w:val="both"/>
        <w:ind w:firstLine="639"/>
        <w:spacing w:after="0" w:line="259" w:lineRule="auto"/>
        <w:tabs>
          <w:tab w:leader="none" w:pos="1256"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Voluntariness and Consequences of Consent Denial or Withdrawal</w:t>
      </w:r>
      <w:r>
        <w:rPr>
          <w:rFonts w:ascii="Arial" w:cs="Arial" w:eastAsia="Arial" w:hAnsi="Arial"/>
          <w:sz w:val="18"/>
          <w:szCs w:val="18"/>
          <w:b w:val="1"/>
          <w:bCs w:val="1"/>
          <w:i w:val="1"/>
          <w:iCs w:val="1"/>
          <w:color w:val="auto"/>
        </w:rPr>
        <w:t>. Participant’s participation in the Plan and his or her grant of consent is purely voluntary. Participant may deny or withdraw his or her consent at any time. If Participant does not consent, or if he or she withdraws his or her consent, Participant cannot participate in the Plan. This would not affect Participant’s salary as an Employee or his or her career; Participant would merely forfeit the opportunities associated with the Plan.</w:t>
      </w:r>
    </w:p>
    <w:p>
      <w:pPr>
        <w:spacing w:after="0" w:line="161" w:lineRule="exact"/>
        <w:rPr>
          <w:rFonts w:ascii="Arial" w:cs="Arial" w:eastAsia="Arial" w:hAnsi="Arial"/>
          <w:sz w:val="18"/>
          <w:szCs w:val="18"/>
          <w:color w:val="auto"/>
        </w:rPr>
      </w:pPr>
    </w:p>
    <w:p>
      <w:pPr>
        <w:jc w:val="both"/>
        <w:ind w:firstLine="639"/>
        <w:spacing w:after="0" w:line="295" w:lineRule="auto"/>
        <w:tabs>
          <w:tab w:leader="none" w:pos="1261"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Participant has a number of rights under data privacy laws in his or her country. Depending on where Participant is based, his or her rights may include the right to (a) to request access or copies of personal data the Company’s processes, (b) rectification of incorrect data, (c) deletion of data, (d) restrictions on processing, (e) portability of data, (f) to lodge complaints with competent authorities in his or her country, and/or (g) a list with the names and addresses of any potential recipients of his or her personal data. To receive clarification regarding Participant’s rights or to exercise his or her rights please contact privacy.questions@autodesk.com.</w:t>
      </w:r>
    </w:p>
    <w:p>
      <w:pPr>
        <w:spacing w:after="0" w:line="135" w:lineRule="exact"/>
        <w:rPr>
          <w:sz w:val="20"/>
          <w:szCs w:val="20"/>
          <w:color w:val="auto"/>
        </w:rPr>
      </w:pPr>
    </w:p>
    <w:p>
      <w:pPr>
        <w:ind w:firstLine="633"/>
        <w:spacing w:after="0" w:line="262" w:lineRule="auto"/>
        <w:rPr>
          <w:sz w:val="20"/>
          <w:szCs w:val="20"/>
          <w:color w:val="auto"/>
        </w:rPr>
      </w:pPr>
      <w:r>
        <w:rPr>
          <w:rFonts w:ascii="Arial" w:cs="Arial" w:eastAsia="Arial" w:hAnsi="Arial"/>
          <w:sz w:val="19"/>
          <w:szCs w:val="19"/>
          <w:b w:val="1"/>
          <w:bCs w:val="1"/>
          <w:i w:val="1"/>
          <w:iCs w:val="1"/>
          <w:color w:val="auto"/>
        </w:rPr>
        <w:t>If Participant agrees with the data processing practices as described in this notice, he or she should declare his or her consent by clicking “Accept” on the E*TRADE award acceptance page.</w:t>
      </w:r>
    </w:p>
    <w:p>
      <w:pPr>
        <w:spacing w:after="0" w:line="156" w:lineRule="exact"/>
        <w:rPr>
          <w:sz w:val="20"/>
          <w:szCs w:val="20"/>
          <w:color w:val="auto"/>
        </w:rPr>
      </w:pPr>
    </w:p>
    <w:p>
      <w:pPr>
        <w:jc w:val="both"/>
        <w:ind w:firstLine="639"/>
        <w:spacing w:after="0" w:line="241" w:lineRule="auto"/>
        <w:tabs>
          <w:tab w:leader="none" w:pos="94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Currency Exchange Risk</w:t>
      </w:r>
      <w:r>
        <w:rPr>
          <w:rFonts w:ascii="Arial" w:cs="Arial" w:eastAsia="Arial" w:hAnsi="Arial"/>
          <w:sz w:val="19"/>
          <w:szCs w:val="19"/>
          <w:color w:val="auto"/>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spacing w:after="0" w:line="177" w:lineRule="exact"/>
        <w:rPr>
          <w:rFonts w:ascii="Arial" w:cs="Arial" w:eastAsia="Arial" w:hAnsi="Arial"/>
          <w:sz w:val="19"/>
          <w:szCs w:val="19"/>
          <w:color w:val="auto"/>
        </w:rPr>
      </w:pPr>
    </w:p>
    <w:p>
      <w:pPr>
        <w:jc w:val="both"/>
        <w:ind w:firstLine="639"/>
        <w:spacing w:after="0" w:line="259" w:lineRule="auto"/>
        <w:tabs>
          <w:tab w:leader="none" w:pos="92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spacing w:after="0" w:line="161" w:lineRule="exact"/>
        <w:rPr>
          <w:rFonts w:ascii="Arial" w:cs="Arial" w:eastAsia="Arial" w:hAnsi="Arial"/>
          <w:sz w:val="18"/>
          <w:szCs w:val="18"/>
          <w:color w:val="auto"/>
        </w:rPr>
      </w:pPr>
    </w:p>
    <w:p>
      <w:pPr>
        <w:jc w:val="both"/>
        <w:ind w:firstLine="639"/>
        <w:spacing w:after="0" w:line="241" w:lineRule="auto"/>
        <w:tabs>
          <w:tab w:leader="none" w:pos="92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7" w:lineRule="exact"/>
        <w:rPr>
          <w:rFonts w:ascii="Arial" w:cs="Arial" w:eastAsia="Arial" w:hAnsi="Arial"/>
          <w:sz w:val="19"/>
          <w:szCs w:val="19"/>
          <w:color w:val="auto"/>
        </w:rPr>
      </w:pPr>
    </w:p>
    <w:p>
      <w:pPr>
        <w:jc w:val="both"/>
        <w:ind w:firstLine="639"/>
        <w:spacing w:after="0" w:line="241" w:lineRule="auto"/>
        <w:tabs>
          <w:tab w:leader="none" w:pos="93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89" w:right="339" w:bottom="1440" w:gutter="0" w:footer="0" w:header="0"/>
        </w:sectPr>
      </w:pPr>
    </w:p>
    <w:bookmarkStart w:id="124" w:name="page125"/>
    <w:bookmarkEnd w:id="124"/>
    <w:p>
      <w:pPr>
        <w:ind w:firstLine="639"/>
        <w:spacing w:after="0" w:line="290" w:lineRule="auto"/>
        <w:tabs>
          <w:tab w:leader="none" w:pos="92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Participant acknowledge that a waiver by the Company of breach of any provision of this Agreement shall not operate or be construed as a waiver of any other provision of this Agreement, or of any subsequent breach by Participant or any other Participant.</w:t>
      </w:r>
    </w:p>
    <w:p>
      <w:pPr>
        <w:spacing w:after="0" w:line="132" w:lineRule="exact"/>
        <w:rPr>
          <w:rFonts w:ascii="Arial" w:cs="Arial" w:eastAsia="Arial" w:hAnsi="Arial"/>
          <w:sz w:val="18"/>
          <w:szCs w:val="18"/>
          <w:color w:val="auto"/>
        </w:rPr>
      </w:pPr>
    </w:p>
    <w:p>
      <w:pPr>
        <w:jc w:val="both"/>
        <w:ind w:firstLine="639"/>
        <w:spacing w:after="0" w:line="249" w:lineRule="auto"/>
        <w:tabs>
          <w:tab w:leader="none" w:pos="92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Insider-Trading/Market-Abuse Laws</w:t>
      </w:r>
      <w:r>
        <w:rPr>
          <w:rFonts w:ascii="Arial" w:cs="Arial" w:eastAsia="Arial" w:hAnsi="Arial"/>
          <w:sz w:val="18"/>
          <w:szCs w:val="18"/>
          <w:color w:val="auto"/>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(e.g., Restricted Stock Units) or rights linked to the value of Shares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Autodesk, Inc. Insider Trading Policy. Participant is responsible for complying with any applicable restrictions, and should speak to Participant’s personal legal advisor and/or the Company’s Legal Department for further details regarding any applicable insider-trading and/or market-abuse laws in Participant’s country.</w:t>
      </w:r>
    </w:p>
    <w:p>
      <w:pPr>
        <w:spacing w:after="0" w:line="170" w:lineRule="exact"/>
        <w:rPr>
          <w:rFonts w:ascii="Arial" w:cs="Arial" w:eastAsia="Arial" w:hAnsi="Arial"/>
          <w:sz w:val="18"/>
          <w:szCs w:val="18"/>
          <w:color w:val="auto"/>
        </w:rPr>
      </w:pPr>
    </w:p>
    <w:p>
      <w:pPr>
        <w:jc w:val="both"/>
        <w:ind w:firstLine="639"/>
        <w:spacing w:after="0" w:line="251" w:lineRule="auto"/>
        <w:tabs>
          <w:tab w:leader="none" w:pos="93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Requirements and Exchange Controls</w:t>
      </w:r>
      <w:r>
        <w:rPr>
          <w:rFonts w:ascii="Arial" w:cs="Arial" w:eastAsia="Arial" w:hAnsi="Arial"/>
          <w:sz w:val="18"/>
          <w:szCs w:val="18"/>
          <w:color w:val="auto"/>
        </w:rPr>
        <w:t>. 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89" w:right="339" w:bottom="1440" w:gutter="0" w:footer="0" w:header="0"/>
        </w:sectPr>
      </w:pPr>
    </w:p>
    <w:bookmarkStart w:id="125" w:name="page126"/>
    <w:bookmarkEnd w:id="125"/>
    <w:p>
      <w:pPr>
        <w:ind w:left="5120"/>
        <w:spacing w:after="0"/>
        <w:rPr>
          <w:sz w:val="20"/>
          <w:szCs w:val="20"/>
          <w:color w:val="auto"/>
        </w:rPr>
      </w:pPr>
      <w:r>
        <w:rPr>
          <w:rFonts w:ascii="Arial" w:cs="Arial" w:eastAsia="Arial" w:hAnsi="Arial"/>
          <w:sz w:val="19"/>
          <w:szCs w:val="19"/>
          <w:b w:val="1"/>
          <w:bCs w:val="1"/>
          <w:u w:val="single" w:color="auto"/>
          <w:color w:val="auto"/>
        </w:rPr>
        <w:t>EXHIBIT B</w:t>
      </w:r>
    </w:p>
    <w:p>
      <w:pPr>
        <w:spacing w:after="0" w:line="204"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COUNTRY-SPECIFIC PROVISIONS TO THE</w:t>
      </w:r>
    </w:p>
    <w:p>
      <w:pPr>
        <w:spacing w:after="0" w:line="20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TERMS AND CONDITIONS OF RESTRICTED STOCK UNITS</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auto"/>
        </w:rPr>
        <w:t>UNDER THEAUTODESK, INC.</w:t>
      </w:r>
    </w:p>
    <w:p>
      <w:pPr>
        <w:ind w:left="4200"/>
        <w:spacing w:after="0"/>
        <w:rPr>
          <w:sz w:val="20"/>
          <w:szCs w:val="20"/>
          <w:color w:val="auto"/>
        </w:rPr>
      </w:pPr>
      <w:r>
        <w:rPr>
          <w:rFonts w:ascii="Arial" w:cs="Arial" w:eastAsia="Arial" w:hAnsi="Arial"/>
          <w:sz w:val="19"/>
          <w:szCs w:val="19"/>
          <w:b w:val="1"/>
          <w:bCs w:val="1"/>
          <w:color w:val="auto"/>
        </w:rPr>
        <w:t>2012 EMPLOYEE STOCK PLAN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This Appendix includes additional terms and conditions that govern the Restricted Stock Units granted to Participant under the Autodesk, Inc. (the “Company”) 2012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If Participant is a citizen or resident of a country other than the one in which Participant is currently working and/or residing, is considered a resident of another country for local law purposes or transfers employer and/or residency between countries after the Date of Grant, the Company shall, in its sole discretion, determine to what extent the terms and conditions contained herein shall apply to Participant under these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January 2018.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Finally, if Participant is a citizen or resident of a country other than the one in which he or she is currently working and/or residing, transfers after the Date of Grant or is considered a resident of another country for local law purposes, the information contained herein may not apply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83"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ARGENTINA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This provision supplements Section 25 of the Agreement.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compensation in lieu of notice, annual bonus, disability, and leave of absence payments, etc., or (ii) any termination or severance indemnities or similar payments.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 Participant further acknowledges and agrees the Restricted Stock Units are an extraordinary benefit, which for labor law purposes (e.g. thirteenth month salary, Christmas bonuses, or similar payments) are valued at the fair market value of the Shares on the date of vesting, when the Shares are delivered to the Participant. A portion of such value may be deducted, to be taken into account for thirteenth month salary purposes as of the month in which the vesting occurs if required under local law.</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Neither the Restricted Stock Units nor the underlying Shares are publicly offered or listed on any stock exchange in Argentina. The offer is private and not subject to the supervision of any Argentine governmental authority.</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is an Argentine resident,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AUSTRALIA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Notwithstanding Section 2 or any other provision of this Agreement, (a) the Restricted Stock Units may not be settled in cash; and (b) the vesting of Restricted Stock Units may be accelerated by the Administrator only upon the death or total permanent disablement of Participant, and to the extent permitted by Applicable Law.</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A Participant will cease to be an employee for the purposes of the Plan (incorporating this Agreement) if he or she is no longer an “Employee” as defined in the Plan, or Participant is no longer employed by any of the following: (a) Participant’s employer in the employment in respect of which Participant acquired the Restricted Stock Units; (b) a holding company (within the meaning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Participant’s employer in the employment in respect of which Participant acquired the Restricted Stock Units; (c) a subsidiary (within 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Participant’s employer in the employment in respect of which Participant acquired the Restricted Stock Units; or (d) a subsidiary (within 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a holding company (within the meaning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Participant’s employer in the employment in respect of which Participant acquired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83" w:right="339" w:bottom="1440" w:gutter="0" w:footer="0" w:header="0"/>
        </w:sectPr>
      </w:pPr>
    </w:p>
    <w:bookmarkStart w:id="127" w:name="page128"/>
    <w:bookmarkEnd w:id="127"/>
    <w:p>
      <w:pPr>
        <w:spacing w:after="0" w:line="39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Tax Information</w:t>
      </w:r>
      <w:r>
        <w:rPr>
          <w:rFonts w:ascii="Arial" w:cs="Arial" w:eastAsia="Arial" w:hAnsi="Arial"/>
          <w:sz w:val="19"/>
          <w:szCs w:val="19"/>
          <w:color w:val="auto"/>
        </w:rPr>
        <w:t>: The Plan is a plan to which Subdivision 83A-C of the Income Tax Assessment Act 1997 (Cth) (the “Act”) applies (subject to the conditions in that Act).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Australia Class Order Exemption</w:t>
      </w:r>
      <w:r>
        <w:rPr>
          <w:rFonts w:ascii="Arial" w:cs="Arial" w:eastAsia="Arial" w:hAnsi="Arial"/>
          <w:sz w:val="18"/>
          <w:szCs w:val="18"/>
          <w:color w:val="auto"/>
        </w:rPr>
        <w:t>. The offering of the Plan in Australia is intended to qualify for exemption from the prospectus requirements under a Class Order issued by the Australian Securities and Investments Commission. Participant’s right to purchase Shares is subject to the terms and conditions set forth in the Australia Offer Document, the Plan and the Agreement, including this Exhibit B.</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Participant is an Australian resident, exchange control reporting is required for cash transactions exceeding A$10,000 and for international fund transfers. If an Australian bank is assisting with the transaction, the bank will file the report on Participant’s behalf. If there is no Australian bank involved in the transfer, Participant will be required to file the report.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AUSTRIA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holds Shares obtained through the Plan outside Austria, Participant may be required to submit reports to the Austrian National Bank as follows: (i) on a quarterly basis if the value of the Shares as of any given quarter meets or exceeds €30,000,000; and (ii) on an annual basis if the value of the Shares as of December 31 meets or exceeds €5,000,000. The quarterly reporting date is as of the last day of the respective quarter; the deadline for filing the quarterly report is the fifteenth day of the month following the end of the respective quarter. The deadline for filing the annual report is January 31 of the following year.</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addition, when the Shares are sold or a dividend is received, Participant may be required to comply with certain exchange control obligations if the cash proceeds from the sale are held outside Austria. If the transaction volume of all accounts abroad meets or exceeds €10,000,000, the movements and balances of all accounts must be reported monthly, as of the last day of the month, on or before the fifteenth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BELGIUM</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BRAZIL</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In accepting the Award, Participant agrees that he or she is (i) making an investment decision, (ii) the Shares will be issued to Participant only if the vesting conditions are met, and (iii) the value of the underlying Shares is not fixed and may increase or decrease in value over the vesting period without compensation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If Participant is a resident or domiciled in Brazil, he or she will be required to submit annually a declaration of assets and rights (including Shares issued upon settlement of the Restricted Stock Units) held outside Brazil to the Central Bank of Brazil if the aggregate value of such assets and rights held abroad is equal to or exceeds a threshold that is established annually by the Central Bank. Further, if Participant is a resident or domiciled in Brazil, and transfers funds into Brazil (e.g., proceeds from the sale of Shares), he or she is required to transfer such funds through a duly authorized bank and provide any requested supporting documents to the bank. By accepting the Award, Participant acknowledges that it is his or her responsibility to comply with the Brazilian exchange control laws, and neither the Company nor the Employer will be liable for any fines or penalties resulting from his or her failure to comply with applicable exchange control laws. Participant should consult with his or her personal legal advisor to ensure compliance with applicable Brazilian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CANADA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Distribution after Vesting</w:t>
      </w:r>
      <w:r>
        <w:rPr>
          <w:rFonts w:ascii="Arial" w:cs="Arial" w:eastAsia="Arial" w:hAnsi="Arial"/>
          <w:sz w:val="19"/>
          <w:szCs w:val="19"/>
          <w:i w:val="1"/>
          <w:iCs w:val="1"/>
          <w:color w:val="auto"/>
        </w:rPr>
        <w:t>.</w:t>
      </w:r>
      <w:r>
        <w:rPr>
          <w:rFonts w:ascii="Arial" w:cs="Arial" w:eastAsia="Arial" w:hAnsi="Arial"/>
          <w:sz w:val="19"/>
          <w:szCs w:val="19"/>
          <w:color w:val="auto"/>
        </w:rPr>
        <w:t xml:space="preserve"> Section 6 of the Agreement shall be deleted in its entirety and replaced with the following language: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the Agreement. Any Restricted Stock Units that vest in accordance with Section 4 will be settled at the time(s) provided in Section 4, subject to Section 9 and the other provisions of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Vesting/Termination</w:t>
      </w:r>
      <w:r>
        <w:rPr>
          <w:rFonts w:ascii="Arial" w:cs="Arial" w:eastAsia="Arial" w:hAnsi="Arial"/>
          <w:sz w:val="19"/>
          <w:szCs w:val="19"/>
          <w:color w:val="auto"/>
        </w:rPr>
        <w:t>. The following provision supplements Section 5 and replaces 24(a) of the Agreement: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purposes of the Agreement, in the event Participant ceases his or her employment or service relationship with the Company or Employer (for any reason whatsoever and whether or not later found to be invalid or in breach of local labor laws), Participant’s right to vest in the Restricted Stock Units will terminate as of the date that is the earlier of: (a) the date Participant’s employment is terminated; (b) the date Participant receives notice of termination of employment from the Company or Employer, or (c) the date Participant is no longer actively employed or actively providing services to the Company or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providing services (including whether Participant may still be considered actively employed or actively providing services while on a leave of absence).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following terms and conditions will apply if Participant is a resident of Quebec</w:t>
      </w:r>
      <w:r>
        <w:rPr>
          <w:rFonts w:ascii="Arial" w:cs="Arial" w:eastAsia="Arial" w:hAnsi="Arial"/>
          <w:sz w:val="19"/>
          <w:szCs w:val="19"/>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section 26 of the Agreement:</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Participant hereby authorizes the Company and the Company’s representatives to discuss with and obtain all relevant information from all personnel, professional or not, involved in the administration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89" w:right="339" w:bottom="1440" w:gutter="0" w:footer="0" w:header="0"/>
        </w:sectPr>
      </w:pPr>
    </w:p>
    <w:bookmarkStart w:id="129" w:name="page130"/>
    <w:bookmarkEnd w:id="129"/>
    <w:p>
      <w:pPr>
        <w:jc w:val="both"/>
        <w:spacing w:after="0" w:line="267" w:lineRule="auto"/>
        <w:rPr>
          <w:sz w:val="20"/>
          <w:szCs w:val="20"/>
          <w:color w:val="auto"/>
        </w:rPr>
      </w:pPr>
      <w:r>
        <w:rPr>
          <w:rFonts w:ascii="Arial" w:cs="Arial" w:eastAsia="Arial" w:hAnsi="Arial"/>
          <w:sz w:val="18"/>
          <w:szCs w:val="18"/>
          <w:color w:val="auto"/>
        </w:rPr>
        <w:t>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 file.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CHINA</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i w:val="1"/>
          <w:iCs w:val="1"/>
          <w:color w:val="auto"/>
        </w:rPr>
        <w:t>The following terms and conditions apply if Participant is subject to exchange control restrictions and regulations in China, including the requirements imposed by the State Administration of Foreign Exchange (“SAFE”) as determined by the Company in its sole discretion.</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Sale Requirement</w:t>
      </w:r>
      <w:r>
        <w:rPr>
          <w:rFonts w:ascii="Arial" w:cs="Arial" w:eastAsia="Arial" w:hAnsi="Arial"/>
          <w:sz w:val="19"/>
          <w:szCs w:val="19"/>
          <w:color w:val="auto"/>
        </w:rPr>
        <w:t>. Notwithstanding any provisions concerning the conversion of Restricted Stock Units and issuance of Shares set forth in this Agreement and the Plan, due to exchange control laws in China, Participant agrees that the Company reserves the right to require the immediate sale of any Shares issued upon settlement of the Restricted Stock Units. Participant understands and agrees that any such immediate sale of Shares will occur as soon as is practical following settlement of the Restricted Stock Units. Alternatively, if the Shares are not immediately sold upon settlement of the Restricted Stock Units, the Company will require the sale of any Shares Participant may then hold within six (6) months (or such other period as may be required under applicable legal or exchange control requirements) following the termination of Participant’s employment with the Company including its Subsidiaries.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Participant agrees that the Company is authorized to instruct such designated broker as may be selected by the Company to assist with the sale of the Shares on Participant’s behalf pursuant to this authorization, and Participant expressly authorizes such broker to complete the sale of such Shares. Participant also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he or she shall not be permitted to exercise any influence over how, when or whether the sales occur. Upon the sale of the Shares, Participant will receive the cash proceeds from the sale, less any applicable Tax-Related Items, brokerage fees or commissions, in accordance with applicable exchange control laws and regulations.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 acknowledges that such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Participant may be more or less than the market value of the Shares on the settlement date (which is the amount relevant to determining his or her liability for Tax-Related Items). Participant understands and agrees that the Company is not responsible for the amount of any loss that he or she may incur and that the Company assumes no liability for any fluctuations in the Share price and/or any applicable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389" w:right="339" w:bottom="1440" w:gutter="0" w:footer="0" w:header="0"/>
        </w:sectPr>
      </w:pPr>
    </w:p>
    <w:bookmarkStart w:id="130" w:name="page131"/>
    <w:bookmarkEnd w:id="130"/>
    <w:p>
      <w:pPr>
        <w:jc w:val="both"/>
        <w:spacing w:after="0" w:line="247" w:lineRule="auto"/>
        <w:rPr>
          <w:sz w:val="20"/>
          <w:szCs w:val="20"/>
          <w:color w:val="auto"/>
        </w:rPr>
      </w:pPr>
      <w:r>
        <w:rPr>
          <w:rFonts w:ascii="Arial" w:cs="Arial" w:eastAsia="Arial" w:hAnsi="Arial"/>
          <w:sz w:val="19"/>
          <w:szCs w:val="19"/>
          <w:u w:val="single" w:color="auto"/>
          <w:color w:val="auto"/>
        </w:rPr>
        <w:t>Designated Broker Account</w:t>
      </w:r>
      <w:r>
        <w:rPr>
          <w:rFonts w:ascii="Arial" w:cs="Arial" w:eastAsia="Arial" w:hAnsi="Arial"/>
          <w:sz w:val="19"/>
          <w:szCs w:val="19"/>
          <w:color w:val="auto"/>
        </w:rPr>
        <w:t>. If Shares issued upon the settlement of the Restricted Stock Units are not immediately sold, Participant acknowledges that he or she is required to maintain the Shares in an account as may be selected by the Company until the Shares are sold through such Company-designated broker (as further detailed below).</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Exchange Control Requirements</w:t>
      </w:r>
      <w:r>
        <w:rPr>
          <w:rFonts w:ascii="Arial" w:cs="Arial" w:eastAsia="Arial" w:hAnsi="Arial"/>
          <w:sz w:val="19"/>
          <w:szCs w:val="19"/>
          <w:color w:val="auto"/>
        </w:rPr>
        <w:t>. Participant understands and agrees that, pursuant to local exchange control requirements, he or she will be required to immediately repatriate the cash proceeds from the sale of Shares and any cash dividends paid on such Shares to China. Participant further understands that, under local law, such repatriation of his or her cash proceeds may need to be effectuated through a special exchange control account established by the Company, the Employer or any other parent or Subsidiary, and Participant hereby consents and agrees that any proceeds from the sale of Shares or any cash dividends paid on such Shares may be transferred to such special account prior to being delivered to him or her.</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proceeds may be paid to Participant in US dollars or local currency at the Company’s discretion. In the event the proceeds are paid to Participant in US dollars, he or she understands that he or she will be required to set up a US dollar bank account in China and provide the bank account details to his or her Employer and/or the Company so that the proceeds may be deposited into this account. If the proceeds are paid to Participant in local currency, the Company is under no obligation to secure any particular exchange conversion rate and/or conversion date and the Company may face delays in converting the proceeds to local currency due to exchange control restrictions. Participant agrees to bear any currency fluctuation risk between the time the Shares are sold or dividends are received and the time the proceeds are distributed through any such special exchange account. Participant further agrees to comply with any other requirements that may be imposed by the Company in the future in order to facilitate compliance with exchange control requirements in China.</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COLOMBIA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This provision supplements Section 25 of the Agreement:</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Participant expressly acknowledges that, pursuant to Article 15 of Law 50/1990 (Article 128 of the Colombian Labor Code), the Restricted Stock Units and any payments Participant receives pursuant to the Restricted Stock Units are wholly discretionary and are a benefit of an extraordinary nature that do not exclusively depend on Participant’s performance. Accordingly, the Plan, the Restricted Stock Units and related benefits do not constitute a component of Participant’s “salary” for any legal purpose, including for purposes of calculating any and all labor benefits, such as fringe benefits, vacation pay, termination or other indemnities, payroll taxes, social insurance contributions, or any other outstanding employment-related amounts, subject to the limitations provided in Law 1393/2010.</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Investments in assets located outside Colombia (including the Shares) are subject to registration with the Central Bank (</w:t>
      </w:r>
      <w:r>
        <w:rPr>
          <w:rFonts w:ascii="Arial" w:cs="Arial" w:eastAsia="Arial" w:hAnsi="Arial"/>
          <w:sz w:val="17"/>
          <w:szCs w:val="17"/>
          <w:i w:val="1"/>
          <w:iCs w:val="1"/>
          <w:color w:val="auto"/>
        </w:rPr>
        <w:t>Banco de la República</w:t>
      </w:r>
      <w:r>
        <w:rPr>
          <w:rFonts w:ascii="Arial" w:cs="Arial" w:eastAsia="Arial" w:hAnsi="Arial"/>
          <w:sz w:val="17"/>
          <w:szCs w:val="17"/>
          <w:color w:val="auto"/>
        </w:rPr>
        <w:t xml:space="preserve">) if the aggregate value of such investments is US$500,000 or more (as of December 31 of the applicable calendar year). Further, when Shares (or other investments) held abroad are sold, Participant may either choose to keep the resulting sums abroad, or to repatriate them to Colombia. If Participant chooses to repatriate funds to Colombia and has not registered the investment with </w:t>
      </w:r>
      <w:r>
        <w:rPr>
          <w:rFonts w:ascii="Arial" w:cs="Arial" w:eastAsia="Arial" w:hAnsi="Arial"/>
          <w:sz w:val="17"/>
          <w:szCs w:val="17"/>
          <w:i w:val="1"/>
          <w:iCs w:val="1"/>
          <w:color w:val="auto"/>
        </w:rPr>
        <w:t>Banco de la</w:t>
      </w:r>
      <w:r>
        <w:rPr>
          <w:rFonts w:ascii="Arial" w:cs="Arial" w:eastAsia="Arial" w:hAnsi="Arial"/>
          <w:sz w:val="17"/>
          <w:szCs w:val="17"/>
          <w:color w:val="auto"/>
        </w:rPr>
        <w:t xml:space="preserve"> </w:t>
      </w:r>
      <w:r>
        <w:rPr>
          <w:rFonts w:ascii="Arial" w:cs="Arial" w:eastAsia="Arial" w:hAnsi="Arial"/>
          <w:sz w:val="17"/>
          <w:szCs w:val="17"/>
          <w:i w:val="1"/>
          <w:iCs w:val="1"/>
          <w:color w:val="auto"/>
        </w:rPr>
        <w:t>República</w:t>
      </w:r>
      <w:r>
        <w:rPr>
          <w:rFonts w:ascii="Arial" w:cs="Arial" w:eastAsia="Arial" w:hAnsi="Arial"/>
          <w:sz w:val="17"/>
          <w:szCs w:val="17"/>
          <w:color w:val="auto"/>
        </w:rPr>
        <w:t>, Participant will need to file with</w:t>
      </w:r>
      <w:r>
        <w:rPr>
          <w:rFonts w:ascii="Arial" w:cs="Arial" w:eastAsia="Arial" w:hAnsi="Arial"/>
          <w:sz w:val="17"/>
          <w:szCs w:val="17"/>
          <w:i w:val="1"/>
          <w:iCs w:val="1"/>
          <w:color w:val="auto"/>
        </w:rPr>
        <w:t xml:space="preserve"> Banco de la República </w:t>
      </w:r>
      <w:r>
        <w:rPr>
          <w:rFonts w:ascii="Arial" w:cs="Arial" w:eastAsia="Arial" w:hAnsi="Arial"/>
          <w:sz w:val="17"/>
          <w:szCs w:val="17"/>
          <w:color w:val="auto"/>
        </w:rPr>
        <w:t>the appropriate form upon conversion of funds into local currency,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should be duly completed to reflect the nature of the transaction. If Participant has registered the investment with </w:t>
      </w:r>
      <w:r>
        <w:rPr>
          <w:rFonts w:ascii="Arial" w:cs="Arial" w:eastAsia="Arial" w:hAnsi="Arial"/>
          <w:sz w:val="17"/>
          <w:szCs w:val="17"/>
          <w:i w:val="1"/>
          <w:iCs w:val="1"/>
          <w:color w:val="auto"/>
        </w:rPr>
        <w:t>Banco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89" w:right="339" w:bottom="1440" w:gutter="0" w:footer="0" w:header="0"/>
        </w:sectPr>
      </w:pPr>
    </w:p>
    <w:bookmarkStart w:id="131" w:name="page132"/>
    <w:bookmarkEnd w:id="131"/>
    <w:p>
      <w:pPr>
        <w:jc w:val="both"/>
        <w:spacing w:after="0" w:line="247" w:lineRule="auto"/>
        <w:rPr>
          <w:sz w:val="20"/>
          <w:szCs w:val="20"/>
          <w:color w:val="auto"/>
        </w:rPr>
      </w:pPr>
      <w:r>
        <w:rPr>
          <w:rFonts w:ascii="Arial" w:cs="Arial" w:eastAsia="Arial" w:hAnsi="Arial"/>
          <w:sz w:val="19"/>
          <w:szCs w:val="19"/>
          <w:i w:val="1"/>
          <w:iCs w:val="1"/>
          <w:color w:val="auto"/>
        </w:rPr>
        <w:t>de la República</w:t>
      </w:r>
      <w:r>
        <w:rPr>
          <w:rFonts w:ascii="Arial" w:cs="Arial" w:eastAsia="Arial" w:hAnsi="Arial"/>
          <w:sz w:val="19"/>
          <w:szCs w:val="19"/>
          <w:color w:val="auto"/>
        </w:rPr>
        <w:t>, then Participant will need to file with</w:t>
      </w:r>
      <w:r>
        <w:rPr>
          <w:rFonts w:ascii="Arial" w:cs="Arial" w:eastAsia="Arial" w:hAnsi="Arial"/>
          <w:sz w:val="19"/>
          <w:szCs w:val="19"/>
          <w:i w:val="1"/>
          <w:iCs w:val="1"/>
          <w:color w:val="auto"/>
        </w:rPr>
        <w:t xml:space="preserve"> Banco de la República </w:t>
      </w:r>
      <w:r>
        <w:rPr>
          <w:rFonts w:ascii="Arial" w:cs="Arial" w:eastAsia="Arial" w:hAnsi="Arial"/>
          <w:sz w:val="19"/>
          <w:szCs w:val="19"/>
          <w:color w:val="auto"/>
        </w:rPr>
        <w:t>the appropriate form upon conversion of funds into local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which should be duly completed to reflect the nature of the transaction. Participant should obtain proper legal advice in order to ensure compliance with applicable Colombian regulations.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Shares are not and will not be registered with the Colombian registry of publicly traded securities (</w:t>
      </w:r>
      <w:r>
        <w:rPr>
          <w:rFonts w:ascii="Arial" w:cs="Arial" w:eastAsia="Arial" w:hAnsi="Arial"/>
          <w:sz w:val="19"/>
          <w:szCs w:val="19"/>
          <w:i w:val="1"/>
          <w:iCs w:val="1"/>
          <w:color w:val="auto"/>
        </w:rPr>
        <w:t>Registro</w:t>
      </w:r>
      <w:r>
        <w:rPr>
          <w:rFonts w:ascii="Arial" w:cs="Arial" w:eastAsia="Arial" w:hAnsi="Arial"/>
          <w:sz w:val="19"/>
          <w:szCs w:val="19"/>
          <w:color w:val="auto"/>
        </w:rPr>
        <w:t xml:space="preserve"> </w:t>
      </w:r>
      <w:r>
        <w:rPr>
          <w:rFonts w:ascii="Arial" w:cs="Arial" w:eastAsia="Arial" w:hAnsi="Arial"/>
          <w:sz w:val="19"/>
          <w:szCs w:val="19"/>
          <w:i w:val="1"/>
          <w:iCs w:val="1"/>
          <w:color w:val="auto"/>
        </w:rPr>
        <w:t>Nacional de Valores y Emisores</w:t>
      </w:r>
      <w:r>
        <w:rPr>
          <w:rFonts w:ascii="Arial" w:cs="Arial" w:eastAsia="Arial" w:hAnsi="Arial"/>
          <w:sz w:val="19"/>
          <w:szCs w:val="19"/>
          <w:color w:val="auto"/>
        </w:rPr>
        <w:t>) and therefore the Shares may not be offered to the public in Colombia. Nothing in this document should be</w:t>
      </w:r>
      <w:r>
        <w:rPr>
          <w:rFonts w:ascii="Arial" w:cs="Arial" w:eastAsia="Arial" w:hAnsi="Arial"/>
          <w:sz w:val="19"/>
          <w:szCs w:val="19"/>
          <w:i w:val="1"/>
          <w:iCs w:val="1"/>
          <w:color w:val="auto"/>
        </w:rPr>
        <w:t xml:space="preserve"> </w:t>
      </w:r>
      <w:r>
        <w:rPr>
          <w:rFonts w:ascii="Arial" w:cs="Arial" w:eastAsia="Arial" w:hAnsi="Arial"/>
          <w:sz w:val="19"/>
          <w:szCs w:val="19"/>
          <w:color w:val="auto"/>
        </w:rPr>
        <w:t>construed as the making of a public offer of securities in Colombia.</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CZECH REPUBLIC</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b w:val="1"/>
          <w:bCs w:val="1"/>
          <w:color w:val="auto"/>
        </w:rPr>
        <w:t>.</w:t>
      </w:r>
      <w:r>
        <w:rPr>
          <w:rFonts w:ascii="Arial" w:cs="Arial" w:eastAsia="Arial" w:hAnsi="Arial"/>
          <w:sz w:val="19"/>
          <w:szCs w:val="19"/>
          <w:color w:val="auto"/>
        </w:rPr>
        <w:t xml:space="preserve"> 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 However, because exchange control regulations change frequently and without notice, Participant should consult his or her personal legal advisor prior to vesting to ensure compliance with current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DENMARK</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Participant acknowledges that he or she received an Employer Statement translated into Danish, which is being provided to comply with the Danish Stock Option Act. To the extent more favorable to Participant and required to comply with the Stock Option Act, the terms set forth in the Employer Statement will apply to the Participant’s participation in the Plan.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Securities/Tax Reporting Information</w:t>
      </w:r>
      <w:r>
        <w:rPr>
          <w:rFonts w:ascii="Arial" w:cs="Arial" w:eastAsia="Arial" w:hAnsi="Arial"/>
          <w:sz w:val="18"/>
          <w:szCs w:val="18"/>
          <w:color w:val="auto"/>
        </w:rPr>
        <w:t>. Participant understands if he or she holds Shares issued upon settlement of the Restricted Stock Units in a brokerage account with a broker or bank outside Denmark, Participant is required to inform the Danish Customs and Tax Administration about the account. For this purpose, Participant must file a Form V (Erklaering V) with the Danish Tax Administration. A sample of Form V can be found at the following website: www.skat.dk. Prior to submitting the Form V to the Danish Customs and Tax Administration, the form must be signed by a representative of the bank or broker with which the securities are deposited (the “depositary”). By signing the Form V, the depositary is undertaking to submit the required information on an annual basis without further request by the Danish Customs and Tax Administration. However, if the depositary will not agree to sign the Form V, Participant may apply for an exemption from this requirement by completing Section 6 (“Possible exemption from requirement to give promise”) of the Form V. If the application is accepted, Participant will be personally responsible for submitting the required information as an attachment to his or her annual tax return.</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It is only necessary to submit a Form V the first time securities are deposited with a depositary outside of Denmark. However, if the securities are transferred to a different depositary or if he or she begins using a new depositary, a new Form V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89" w:right="339" w:bottom="1440" w:gutter="0" w:footer="0" w:header="0"/>
        </w:sectPr>
      </w:pPr>
    </w:p>
    <w:bookmarkStart w:id="132" w:name="page133"/>
    <w:bookmarkEnd w:id="132"/>
    <w:p>
      <w:pPr>
        <w:jc w:val="both"/>
        <w:spacing w:after="0" w:line="247" w:lineRule="auto"/>
        <w:rPr>
          <w:sz w:val="20"/>
          <w:szCs w:val="20"/>
          <w:color w:val="auto"/>
        </w:rPr>
      </w:pPr>
      <w:r>
        <w:rPr>
          <w:rFonts w:ascii="Arial" w:cs="Arial" w:eastAsia="Arial" w:hAnsi="Arial"/>
          <w:sz w:val="19"/>
          <w:szCs w:val="19"/>
          <w:color w:val="auto"/>
        </w:rPr>
        <w:t>Generally, the Form V must be submitted by the depositary no later than February 1 of the year following the calendar year to which the information relates. However, if Participant is responsible for submitting this information (i.e., because he or she has applied for and received an exemption), Participant must submit the required information as an attachment to his or her annual tax return.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if Participant opens a brokerage account (or a deposit account with a U.S. bank) for the purpose of holding cash outside Denmark, Participant is also required to inform the Danish Customs and Tax Administration about this account. To do so, Participant must also file a Form K (Erklaering K) with the Danish Customs and Tax Administration. The Form K must be signed both by Participant and by the applicable broker or bank where the account is held. By signing the Form K, the broker/bank undertakes an obligation, without further request each year and not later than on February 1 of the year following the calendar year to which the information relates, to forward certain information to the Danish Tax Administration concerning the content of the account. In the event that the applicable financial institution (broker or bank) with which the account is held, does not wish to, or, pursuant to the laws of the country in question, is not allowed to assume such obligation to report, Participant acknowledges that he or she is solely responsible for providing certain details regarding the foreign brokerage or bank account to the Danish Customs and Tax Administration as part of his or her annual income tax return. By signing the Form K, Participant authorizes the Danish Customs and Tax Administration to examine the account. A sample of Form K can be found at the following website: www.skat.dk.</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FINLAND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FRANCE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Language Consent</w:t>
      </w:r>
      <w:r>
        <w:rPr>
          <w:rFonts w:ascii="Arial" w:cs="Arial" w:eastAsia="Arial" w:hAnsi="Arial"/>
          <w:sz w:val="19"/>
          <w:szCs w:val="19"/>
          <w:color w:val="auto"/>
        </w:rPr>
        <w:t>. By accepting the Award, Participant confirms having read and understood the Plan and Agreement which were provided in the English language. Participant accepts the terms of those documents accordingly.</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u w:val="single" w:color="auto"/>
          <w:color w:val="auto"/>
        </w:rPr>
        <w:t>Consentement Relatif à la Langue Utilisée</w:t>
      </w:r>
      <w:r>
        <w:rPr>
          <w:rFonts w:ascii="Arial" w:cs="Arial" w:eastAsia="Arial" w:hAnsi="Arial"/>
          <w:sz w:val="19"/>
          <w:szCs w:val="19"/>
          <w:i w:val="1"/>
          <w:iCs w:val="1"/>
          <w:color w:val="auto"/>
        </w:rPr>
        <w:t>. En acceptant l’Attribution, le Participant confirme avoir lu et compris le Plan et le Contrat, qui ont été communiqués en langue anglaise. Le Participant accepte les termes de ces documents en connaissance de cause.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Participant must declare to the customs and excise authorities any cash or securities he or she imports or exports without the use of a financial institution when the value of the cash or securities is equal to or exceeds €10,000.</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GERMANY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Cross-border payments in excess of €12,500 must be reported monthly to the German Federal Bank. If Participant makes or receives a cross-border payment in excess of €12,500 (</w:t>
      </w:r>
      <w:r>
        <w:rPr>
          <w:rFonts w:ascii="Arial" w:cs="Arial" w:eastAsia="Arial" w:hAnsi="Arial"/>
          <w:sz w:val="19"/>
          <w:szCs w:val="19"/>
          <w:i w:val="1"/>
          <w:iCs w:val="1"/>
          <w:color w:val="auto"/>
        </w:rPr>
        <w:t>e.g.</w:t>
      </w:r>
      <w:r>
        <w:rPr>
          <w:rFonts w:ascii="Arial" w:cs="Arial" w:eastAsia="Arial" w:hAnsi="Arial"/>
          <w:sz w:val="19"/>
          <w:szCs w:val="19"/>
          <w:color w:val="auto"/>
        </w:rPr>
        <w:t>, proceeds from the sale of Shares acquired under the Plan), he or she must report the payment to the German Federal Bank electronically using the “General Statistics Reporting Portal” available via the Bank’s website (</w:t>
      </w:r>
      <w:r>
        <w:rPr>
          <w:rFonts w:ascii="Arial" w:cs="Arial" w:eastAsia="Arial" w:hAnsi="Arial"/>
          <w:sz w:val="19"/>
          <w:szCs w:val="19"/>
          <w:u w:val="single" w:color="auto"/>
          <w:color w:val="auto"/>
        </w:rPr>
        <w:t>www.bundesbank.de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89" w:right="3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b w:val="1"/>
          <w:bCs w:val="1"/>
          <w:color w:val="auto"/>
        </w:rPr>
        <w:t>HONG KONG</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Nature of Scheme</w:t>
      </w:r>
      <w:r>
        <w:rPr>
          <w:rFonts w:ascii="Arial" w:cs="Arial" w:eastAsia="Arial" w:hAnsi="Arial"/>
          <w:sz w:val="18"/>
          <w:szCs w:val="18"/>
          <w:color w:val="auto"/>
        </w:rPr>
        <w:t>. Participant acknowledges that the Company specifically intends that the Plan will not be an occupational retirement scheme for purposes of the Occupational Retirement Schemes Ordinance (“ORSO”). Notwithstanding the foregoing, if the Plan is deemed to constitute an occupational retirement scheme for purposes of ORSO, the Restricted Stock Units granted shall be void.</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Securities Law Notification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WARNING: The contents of this Agreement, the Plan and any other incidental communication materials distributed</w:t>
      </w:r>
      <w:r>
        <w:rPr>
          <w:rFonts w:ascii="Arial" w:cs="Arial" w:eastAsia="Arial" w:hAnsi="Arial"/>
          <w:sz w:val="17"/>
          <w:szCs w:val="17"/>
          <w:color w:val="auto"/>
        </w:rPr>
        <w:t xml:space="preserve"> </w:t>
      </w:r>
      <w:r>
        <w:rPr>
          <w:rFonts w:ascii="Arial" w:cs="Arial" w:eastAsia="Arial" w:hAnsi="Arial"/>
          <w:sz w:val="17"/>
          <w:szCs w:val="17"/>
          <w:i w:val="1"/>
          <w:iCs w:val="1"/>
          <w:color w:val="auto"/>
        </w:rPr>
        <w:t>in connection with the Restricted Stock Units have not been reviewed by any regulatory authority in Hong Kong. Participant is advised to exercise caution in relation to the Award. If Participant is in any doubt about any of the contents of this Agreement, the Plan any other incidental communication materials distributed in connection with the Restricted Stock Units, Participant should obtain independent professional advice.</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i w:val="1"/>
          <w:iCs w:val="1"/>
          <w:color w:val="auto"/>
        </w:rPr>
        <w:t>This Agreement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HUNGARY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83" w:right="339" w:bottom="1440" w:gutter="0" w:footer="0" w:header="0"/>
        </w:sectPr>
      </w:pPr>
    </w:p>
    <w:bookmarkStart w:id="134" w:name="page135"/>
    <w:bookmarkEnd w:id="134"/>
    <w:p>
      <w:pPr>
        <w:jc w:val="both"/>
        <w:spacing w:after="0" w:line="274"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Participant must repatriate any proceeds from the sale of Shares acquired under the Plan and any cash dividends to India and convert the proceeds into local currency within such time as prescribed under applicable Indian exchange control laws as may be amended from time to time.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It is Participant’s responsibility to comply with applicable exchange control laws in India.</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INDONESIA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Language Consent and Information</w:t>
      </w:r>
      <w:r>
        <w:rPr>
          <w:rFonts w:ascii="Arial" w:cs="Arial" w:eastAsia="Arial" w:hAnsi="Arial"/>
          <w:sz w:val="19"/>
          <w:szCs w:val="19"/>
          <w:color w:val="auto"/>
        </w:rPr>
        <w:t>. A translation of the documents relating to this grant (i.e., the Plan and the Agreement) into Bahasa Indonesia can be provided to Participant upon request to the Company at Stock.Administrator@autodesk.com. By accepting the grant of Restricted Stock Units, Participant (i) confirms having read and understood the documents relating to this grant (i.e., the Notice of Grant, the Agreement (including Exhibit A and B thereof) and the Plan)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Indonesian residents remit proceeds from the sale of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IRELAND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ISRAEL</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following provisions apply to Participants who are in Israel on the Date of Grant.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Section 1 of the Agreement shall be supplemented to add the following language at the end thereof:</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89" w:right="339" w:bottom="1440" w:gutter="0" w:footer="0" w:header="0"/>
        </w:sectPr>
      </w:pPr>
    </w:p>
    <w:bookmarkStart w:id="135" w:name="page136"/>
    <w:bookmarkEnd w:id="135"/>
    <w:p>
      <w:pPr>
        <w:jc w:val="both"/>
        <w:spacing w:after="0" w:line="237" w:lineRule="auto"/>
        <w:rPr>
          <w:sz w:val="20"/>
          <w:szCs w:val="20"/>
          <w:color w:val="auto"/>
        </w:rPr>
      </w:pPr>
      <w:r>
        <w:rPr>
          <w:rFonts w:ascii="Arial" w:cs="Arial" w:eastAsia="Arial" w:hAnsi="Arial"/>
          <w:sz w:val="19"/>
          <w:szCs w:val="19"/>
          <w:u w:val="single" w:color="auto"/>
          <w:color w:val="auto"/>
        </w:rPr>
        <w:t>Section 102 Compliance</w:t>
      </w:r>
      <w:r>
        <w:rPr>
          <w:rFonts w:ascii="Arial" w:cs="Arial" w:eastAsia="Arial" w:hAnsi="Arial"/>
          <w:sz w:val="19"/>
          <w:szCs w:val="19"/>
          <w:color w:val="auto"/>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and (c)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Distribution after Vesting</w:t>
      </w:r>
      <w:r>
        <w:rPr>
          <w:rFonts w:ascii="Arial" w:cs="Arial" w:eastAsia="Arial" w:hAnsi="Arial"/>
          <w:sz w:val="19"/>
          <w:szCs w:val="19"/>
          <w:color w:val="auto"/>
        </w:rPr>
        <w:t>. Section 6 of the Agreement shall be deleted in its entirety and replaced by the following language:</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Section 9 of the Agreement shall be supplemented by the following language:</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Participant further agrees that the Trustee may act on behalf of the Company or the Employer, as applicable, to satisfy any obligation to withhold Tax-Related Items applicable to Participant in connection with the Units granted under the Sub-Plan.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Address for Notices</w:t>
      </w:r>
      <w:r>
        <w:rPr>
          <w:rFonts w:ascii="Arial" w:cs="Arial" w:eastAsia="Arial" w:hAnsi="Arial"/>
          <w:sz w:val="19"/>
          <w:szCs w:val="19"/>
          <w:color w:val="auto"/>
        </w:rPr>
        <w:t>. Section 12 of the Agreement shall be deleted in its entirety and replaced by the following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89" w:right="339" w:bottom="1440" w:gutter="0" w:footer="0" w:header="0"/>
        </w:sectPr>
      </w:pPr>
    </w:p>
    <w:bookmarkStart w:id="136" w:name="page137"/>
    <w:bookmarkEnd w:id="136"/>
    <w:p>
      <w:pPr>
        <w:jc w:val="both"/>
        <w:spacing w:after="0" w:line="247" w:lineRule="auto"/>
        <w:rPr>
          <w:sz w:val="20"/>
          <w:szCs w:val="20"/>
          <w:color w:val="auto"/>
        </w:rPr>
      </w:pPr>
      <w:r>
        <w:rPr>
          <w:rFonts w:ascii="Arial" w:cs="Arial" w:eastAsia="Arial" w:hAnsi="Arial"/>
          <w:sz w:val="19"/>
          <w:szCs w:val="19"/>
          <w:color w:val="auto"/>
        </w:rPr>
        <w:t xml:space="preserve">Any notice to be given to the Company under the terms of this Agreement will be addressed to the Company at Autodesk, Inc., c/o Stock Administrator, </w:t>
      </w:r>
      <w:r>
        <w:rPr>
          <w:rFonts w:ascii="Arial" w:cs="Arial" w:eastAsia="Arial" w:hAnsi="Arial"/>
          <w:sz w:val="19"/>
          <w:szCs w:val="19"/>
          <w:b w:val="1"/>
          <w:bCs w:val="1"/>
          <w:color w:val="auto"/>
        </w:rPr>
        <w:t>111 McInnis Parkway, San Rafael, CA 94903 U.S.A.</w:t>
      </w:r>
      <w:r>
        <w:rPr>
          <w:rFonts w:ascii="Arial" w:cs="Arial" w:eastAsia="Arial" w:hAnsi="Arial"/>
          <w:sz w:val="19"/>
          <w:szCs w:val="19"/>
          <w:color w:val="auto"/>
        </w:rPr>
        <w:t>, or at such other address as the Company may hereafter designate in writing, unless otherwise expressly instructed by the Company or the Trustee with respect to a specific type of notice.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Section 26 of the Agreement shall be supplemented by the following language:</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Without derogating from the scope of Section 26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following provisions apply to Participants who permanently transfer to Israel after the Date of Grant.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Mandatory Sale Restriction</w:t>
      </w:r>
      <w:r>
        <w:rPr>
          <w:rFonts w:ascii="Arial" w:cs="Arial" w:eastAsia="Arial" w:hAnsi="Arial"/>
          <w:sz w:val="18"/>
          <w:szCs w:val="18"/>
          <w:color w:val="auto"/>
        </w:rPr>
        <w:t>. To facilitate compliance with local tax requirements, Participant agrees to the sale of any Shares to be issued to him or her upon settlement of the Restricted Stock Units. The sale may occur (i) immediately upon settlement, (ii) following Participant’s termination of employment, or (iii) within any other time frame as the Company determines to be necessary to comply with local tax requirements. Participant further agrees the Company is authorized to instruct its designated broker to assist with the mandatory sale of such Shares (on his or her behalf pursuant to this authorization) and Participant expressly authorizes the Company’s designated broker to complete the sale of such Shares. Participant acknowledges the Company’s designated broker is under no obligation to arrange for the sale of the Shares at any particular price. Upon the sale of the Shares, the Company agrees to pay Participant the cash proceeds from the sale, less any brokerage fees or commissions and subject to any obligation to satisfy Tax-Related Items.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Participant further agrees any Shares to be issued to him or her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issued to Participant under the Plan, whether or not he or she continues to be employed by the Company or any parent or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ITALY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Plan Document Acknowledgement</w:t>
      </w:r>
      <w:r>
        <w:rPr>
          <w:rFonts w:ascii="Arial" w:cs="Arial" w:eastAsia="Arial" w:hAnsi="Arial"/>
          <w:sz w:val="19"/>
          <w:szCs w:val="19"/>
          <w:color w:val="auto"/>
        </w:rPr>
        <w:t>.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Participant further acknowledges having read and specifically approves the following sections of the Agreement: Section 3 (Vesting Schedule), Section 5 (Forfeiture upon Termination of Service as a an Employee), Section 7 (Disability or Death of Participant), Section 8 (Retirement of Participant), Section 9 (Responsibility for Taxes), Section 25 (Nature of Grant), Section 15 (Additional Conditions to Issuance of Stock), Section 18 (Electronic Delivery), Section 23 (Governing Law), Section 24 (Language), Section 32 (Insider Trading Restrictions/Market Abuse Laws), and Section 26 (Data Privacy).</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JAPAN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389"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b w:val="1"/>
          <w:bCs w:val="1"/>
          <w:color w:val="auto"/>
        </w:rPr>
        <w:t>KOREA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MALAYSIA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This provision replaces Section 9 of the Agreement in its entirety:</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a condition of grant, Participant hereby elects to pay any and all income tax due on the benefits derived from the Restricted Stock Units and/or the receipt of Shares upon vesting of the Restricted Stock Units (“Taxes on RSUs”) directly to the Malaysian Inland Revenue Board and report such benefits on his or her annual tax return for the relevant year of the tax assessment. Participant further understands and agrees that by making this election, the Company and the Employer will not withhold any taxes pursuant to the Income Tax (Deduction of Remuneration) Rules 1994 in respect of the Taxes on RSUs, and Participant acknowledges and agrees that the ultimate liability for all Taxes on RSUs is and remains Participant’s responsibility.</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Further, if Participant becomes subject to taxation in more than one jurisdiction between the Date of Grant and the date of any relevant taxable event, Participant acknowledges that the Company and/or the Employer (or former employer, as applicable) may be required to withhold or account for the Taxes on RSUs in any relevant jurisdiction outside Malaysia and may do so in the manner set forth in the Agreement.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election will remain in effect unless and until Participant actively cancels the election by notifying the Employer in writing and the Employer confirms receipt of such cancellation notice.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i w:val="1"/>
          <w:iCs w:val="1"/>
          <w:color w:val="auto"/>
        </w:rPr>
        <w:t>.</w:t>
      </w:r>
      <w:r>
        <w:rPr>
          <w:rFonts w:ascii="Arial" w:cs="Arial" w:eastAsia="Arial" w:hAnsi="Arial"/>
          <w:sz w:val="19"/>
          <w:szCs w:val="19"/>
          <w:color w:val="auto"/>
        </w:rPr>
        <w:t xml:space="preserve"> This provision replaces Section 26 of the Agreement in its entirety:</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i w:val="1"/>
          <w:iCs w:val="1"/>
          <w:color w:val="auto"/>
        </w:rPr>
        <w:t>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383" w:right="339" w:bottom="1440" w:gutter="0" w:footer="0" w:header="0"/>
        </w:sectPr>
      </w:pPr>
    </w:p>
    <w:bookmarkStart w:id="138" w:name="page139"/>
    <w:bookmarkEnd w:id="138"/>
    <w:p>
      <w:pPr>
        <w:jc w:val="both"/>
        <w:spacing w:after="0" w:line="263" w:lineRule="auto"/>
        <w:rPr>
          <w:sz w:val="20"/>
          <w:szCs w:val="20"/>
          <w:color w:val="auto"/>
        </w:rPr>
      </w:pPr>
      <w:r>
        <w:rPr>
          <w:rFonts w:ascii="Arial" w:cs="Arial" w:eastAsia="Arial" w:hAnsi="Arial"/>
          <w:sz w:val="17"/>
          <w:szCs w:val="17"/>
          <w:i w:val="1"/>
          <w:iCs w:val="1"/>
          <w:color w:val="auto"/>
        </w:rPr>
        <w:t>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 hrgc.apac@autodesk.com</w:t>
      </w:r>
      <w:r>
        <w:rPr>
          <w:rFonts w:ascii="Arial" w:cs="Arial" w:eastAsia="Arial" w:hAnsi="Arial"/>
          <w:sz w:val="17"/>
          <w:szCs w:val="17"/>
          <w:color w:val="auto"/>
        </w:rPr>
        <w:t>.</w:t>
      </w:r>
      <w:r>
        <w:rPr>
          <w:rFonts w:ascii="Arial" w:cs="Arial" w:eastAsia="Arial" w:hAnsi="Arial"/>
          <w:sz w:val="17"/>
          <w:szCs w:val="17"/>
          <w:i w:val="1"/>
          <w:iCs w:val="1"/>
          <w:color w:val="auto"/>
        </w:rPr>
        <w:t xml:space="preserve"> 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Notifikasi Privasi Data</w:t>
      </w:r>
      <w:r>
        <w:rPr>
          <w:rFonts w:ascii="Arial" w:cs="Arial" w:eastAsia="Arial" w:hAnsi="Arial"/>
          <w:sz w:val="19"/>
          <w:szCs w:val="19"/>
          <w:color w:val="auto"/>
        </w:rPr>
        <w:t>. Peruntukan ini menggantikan Seksyen 25 dalam Perjanjian Anugerah secara keseluruhan :</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89" w:right="339" w:bottom="1440" w:gutter="0" w:footer="0" w:header="0"/>
        </w:sectPr>
      </w:pPr>
    </w:p>
    <w:bookmarkStart w:id="139" w:name="page140"/>
    <w:bookmarkEnd w:id="139"/>
    <w:p>
      <w:pPr>
        <w:jc w:val="both"/>
        <w:spacing w:after="0" w:line="248" w:lineRule="auto"/>
        <w:rPr>
          <w:sz w:val="20"/>
          <w:szCs w:val="20"/>
          <w:color w:val="auto"/>
        </w:rPr>
      </w:pPr>
      <w:r>
        <w:rPr>
          <w:rFonts w:ascii="Arial" w:cs="Arial" w:eastAsia="Arial" w:hAnsi="Arial"/>
          <w:sz w:val="18"/>
          <w:szCs w:val="18"/>
          <w:i w:val="1"/>
          <w:iCs w:val="1"/>
          <w:color w:val="auto"/>
        </w:rPr>
        <w:t>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 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 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Director Notification Obligation</w:t>
      </w:r>
      <w:r>
        <w:rPr>
          <w:rFonts w:ascii="Arial" w:cs="Arial" w:eastAsia="Arial" w:hAnsi="Arial"/>
          <w:sz w:val="18"/>
          <w:szCs w:val="18"/>
          <w:i w:val="1"/>
          <w:iCs w:val="1"/>
          <w:color w:val="auto"/>
        </w:rPr>
        <w:t>.</w:t>
      </w:r>
      <w:r>
        <w:rPr>
          <w:rFonts w:ascii="Arial" w:cs="Arial" w:eastAsia="Arial" w:hAnsi="Arial"/>
          <w:sz w:val="18"/>
          <w:szCs w:val="18"/>
          <w:color w:val="auto"/>
        </w:rPr>
        <w:t xml:space="preserve"> 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fourteen (14) days of receiving or disposing of any interest in the Company or any related company.</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MEXICO</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Plan Document Acknowledgement</w:t>
      </w:r>
      <w:r>
        <w:rPr>
          <w:rFonts w:ascii="Arial" w:cs="Arial" w:eastAsia="Arial" w:hAnsi="Arial"/>
          <w:sz w:val="19"/>
          <w:szCs w:val="19"/>
          <w:color w:val="auto"/>
        </w:rPr>
        <w:t>. This provision supplements Section 25 of the Agreement:</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accepting the Restricted Stock Units, Participant acknowledges that he or she has received a copy of the Plan and the Agreement, including this Exhibit B, which he or she has reviewed. Participant further acknowledges that he or she accepts all the provisions of the Plan and the Agreement, including this Exhibit B. Participant also acknowledges that he or she has read and specifically and expressly approves the terms and conditions set forth in the “Nature of Grant” Section of the Agreement, which clearly provide as follows:</w:t>
      </w:r>
    </w:p>
    <w:p>
      <w:pPr>
        <w:spacing w:after="0" w:line="162" w:lineRule="exact"/>
        <w:rPr>
          <w:sz w:val="20"/>
          <w:szCs w:val="20"/>
          <w:color w:val="auto"/>
        </w:rPr>
      </w:pPr>
    </w:p>
    <w:p>
      <w:pPr>
        <w:ind w:left="280" w:hanging="274"/>
        <w:spacing w:after="0"/>
        <w:tabs>
          <w:tab w:leader="none" w:pos="2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Participant’s participation in the Plan does not constitute an acquired right;</w:t>
      </w:r>
    </w:p>
    <w:p>
      <w:pPr>
        <w:spacing w:after="0" w:line="203" w:lineRule="exact"/>
        <w:rPr>
          <w:rFonts w:ascii="Arial" w:cs="Arial" w:eastAsia="Arial" w:hAnsi="Arial"/>
          <w:sz w:val="19"/>
          <w:szCs w:val="19"/>
          <w:color w:val="auto"/>
        </w:rPr>
      </w:pPr>
    </w:p>
    <w:p>
      <w:pPr>
        <w:ind w:left="280" w:hanging="274"/>
        <w:spacing w:after="0"/>
        <w:tabs>
          <w:tab w:leader="none" w:pos="2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Plan and Participant’s participation in it are offered by the Company on a wholly discretionary basis; and</w:t>
      </w:r>
    </w:p>
    <w:p>
      <w:pPr>
        <w:spacing w:after="0" w:line="203" w:lineRule="exact"/>
        <w:rPr>
          <w:rFonts w:ascii="Arial" w:cs="Arial" w:eastAsia="Arial" w:hAnsi="Arial"/>
          <w:sz w:val="19"/>
          <w:szCs w:val="19"/>
          <w:color w:val="auto"/>
        </w:rPr>
      </w:pPr>
    </w:p>
    <w:p>
      <w:pPr>
        <w:ind w:left="280" w:hanging="274"/>
        <w:spacing w:after="0"/>
        <w:tabs>
          <w:tab w:leader="none" w:pos="2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Participant’s participation in the Plan is voluntary.</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9"/>
          <w:szCs w:val="19"/>
          <w:u w:val="single" w:color="auto"/>
          <w:color w:val="auto"/>
        </w:rPr>
        <w:t>Labor Law Acknowledgement and Policy Statement</w:t>
      </w:r>
      <w:r>
        <w:rPr>
          <w:rFonts w:ascii="Arial" w:cs="Arial" w:eastAsia="Arial" w:hAnsi="Arial"/>
          <w:sz w:val="19"/>
          <w:szCs w:val="19"/>
          <w:color w:val="auto"/>
        </w:rPr>
        <w:t>. By accepting the Restricted Stock Units, Participant acknowledges that Autodesk, Inc., with registered offices at 111 McInnis Parkway, San Rafael, CA 94903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389" w:right="339" w:bottom="1440" w:gutter="0" w:footer="0" w:header="0"/>
        </w:sectPr>
      </w:pPr>
    </w:p>
    <w:bookmarkStart w:id="140" w:name="page141"/>
    <w:bookmarkEnd w:id="140"/>
    <w:p>
      <w:pPr>
        <w:jc w:val="both"/>
        <w:spacing w:after="0" w:line="237" w:lineRule="auto"/>
        <w:rPr>
          <w:sz w:val="20"/>
          <w:szCs w:val="20"/>
          <w:color w:val="auto"/>
        </w:rPr>
      </w:pPr>
      <w:r>
        <w:rPr>
          <w:rFonts w:ascii="Arial" w:cs="Arial" w:eastAsia="Arial" w:hAnsi="Arial"/>
          <w:sz w:val="19"/>
          <w:szCs w:val="19"/>
          <w:color w:val="auto"/>
        </w:rPr>
        <w:t>U.S.A., is solely responsible for the administration of the Plan. Participant further acknowledges that his or her participation in the Plan, the grant of the Restricted Stock Units and any acquisition of Shares under the Plan do not constitute an employment relationship or service contract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Términos y Condiciones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Documento de Reconocimiento del Plan</w:t>
      </w:r>
      <w:r>
        <w:rPr>
          <w:rFonts w:ascii="Arial" w:cs="Arial" w:eastAsia="Arial" w:hAnsi="Arial"/>
          <w:sz w:val="19"/>
          <w:szCs w:val="19"/>
          <w:i w:val="1"/>
          <w:iCs w:val="1"/>
          <w:color w:val="auto"/>
        </w:rPr>
        <w:t>. Esta disposición suplementa la Sección 24 del Contrato:</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w:t>
      </w:r>
    </w:p>
    <w:p>
      <w:pPr>
        <w:spacing w:after="0" w:line="162" w:lineRule="exact"/>
        <w:rPr>
          <w:sz w:val="20"/>
          <w:szCs w:val="20"/>
          <w:color w:val="auto"/>
        </w:rPr>
      </w:pPr>
    </w:p>
    <w:p>
      <w:pPr>
        <w:ind w:left="280" w:hanging="274"/>
        <w:spacing w:after="0"/>
        <w:tabs>
          <w:tab w:leader="none" w:pos="28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La participación del Participante en el Plan no constituye un derecho adquirido;</w:t>
      </w:r>
    </w:p>
    <w:p>
      <w:pPr>
        <w:spacing w:after="0" w:line="203" w:lineRule="exact"/>
        <w:rPr>
          <w:rFonts w:ascii="Arial" w:cs="Arial" w:eastAsia="Arial" w:hAnsi="Arial"/>
          <w:sz w:val="19"/>
          <w:szCs w:val="19"/>
          <w:i w:val="1"/>
          <w:iCs w:val="1"/>
          <w:color w:val="auto"/>
        </w:rPr>
      </w:pPr>
    </w:p>
    <w:p>
      <w:pPr>
        <w:ind w:left="280" w:hanging="274"/>
        <w:spacing w:after="0"/>
        <w:tabs>
          <w:tab w:leader="none" w:pos="28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El Plan y la participación del Participante en el Plan se ofrecen por la Compañía de manera totalmente discrecional; y</w:t>
      </w:r>
    </w:p>
    <w:p>
      <w:pPr>
        <w:spacing w:after="0" w:line="203" w:lineRule="exact"/>
        <w:rPr>
          <w:rFonts w:ascii="Arial" w:cs="Arial" w:eastAsia="Arial" w:hAnsi="Arial"/>
          <w:sz w:val="19"/>
          <w:szCs w:val="19"/>
          <w:i w:val="1"/>
          <w:iCs w:val="1"/>
          <w:color w:val="auto"/>
        </w:rPr>
      </w:pPr>
    </w:p>
    <w:p>
      <w:pPr>
        <w:ind w:left="280" w:hanging="274"/>
        <w:spacing w:after="0"/>
        <w:tabs>
          <w:tab w:leader="none" w:pos="28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La participación del Participante en el Plan es voluntaria.</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i w:val="1"/>
          <w:iCs w:val="1"/>
          <w:u w:val="single" w:color="auto"/>
          <w:color w:val="auto"/>
        </w:rPr>
        <w:t>Reconocimiento de Ley Laboral y Declaración de Política</w:t>
      </w:r>
      <w:r>
        <w:rPr>
          <w:rFonts w:ascii="Arial" w:cs="Arial" w:eastAsia="Arial" w:hAnsi="Arial"/>
          <w:sz w:val="19"/>
          <w:szCs w:val="19"/>
          <w:i w:val="1"/>
          <w:iCs w:val="1"/>
          <w:color w:val="auto"/>
        </w:rPr>
        <w:t>. Al aceptar las Unidades de Acción Restringida, el Participante reconoce que Autodesk, Inc., con oficinas registradas en 111 McInnis Parkway, San Rafael, CA 94903,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o un contrato de servicio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389" w:right="339" w:bottom="1440" w:gutter="0" w:footer="0" w:header="0"/>
        </w:sectPr>
      </w:pPr>
    </w:p>
    <w:bookmarkStart w:id="141" w:name="page142"/>
    <w:bookmarkEnd w:id="141"/>
    <w:p>
      <w:pPr>
        <w:jc w:val="both"/>
        <w:spacing w:after="0" w:line="247" w:lineRule="auto"/>
        <w:rPr>
          <w:sz w:val="20"/>
          <w:szCs w:val="20"/>
          <w:color w:val="auto"/>
        </w:rPr>
      </w:pPr>
      <w:r>
        <w:rPr>
          <w:rFonts w:ascii="Arial" w:cs="Arial" w:eastAsia="Arial" w:hAnsi="Arial"/>
          <w:sz w:val="19"/>
          <w:szCs w:val="19"/>
          <w:i w:val="1"/>
          <w:iCs w:val="1"/>
          <w:color w:val="auto"/>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i w:val="1"/>
          <w:iCs w:val="1"/>
          <w:color w:val="auto"/>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NETHERLANDS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ZEALAND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Warning: This is an offer of rights to receive Shares upon vesting of the Restricted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Plan and this Agreement. Restricted Stock Units give the Participant a stake in the ownership of the Company. Participant may receive a return if dividends are paid on the Shares.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If the Company runs into financial difficulties and is wound up, Participant will be paid only after all creditors have been paid. Participant may lose some or all of his or her investment.</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the Participant may not be given all the information usually required. Participant will also have fewer other legal protections for this investment.</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Participant should ask questions, read all documents carefully, and seek independent financial advice before committing to participate in the Plan.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 copy of the Company’s latest annual report and most recent published annual financial statements are available online at www.sec.gov/, as well as on the Company’s website at http://investors.autodesk.com.</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As noted above, Participant is advised to carefully read the materials provided before making a decision whether to participate in the Plan. Participant is also encouraged to contact his or her tax advisor for specific information concerning Participant’s personal tax situation with regard to Plan participation.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NORWAY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PHILIPPINES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389" w:right="339" w:bottom="1440" w:gutter="0" w:footer="0" w:header="0"/>
        </w:sectPr>
      </w:pPr>
    </w:p>
    <w:bookmarkStart w:id="142" w:name="page143"/>
    <w:bookmarkEnd w:id="142"/>
    <w:p>
      <w:pPr>
        <w:ind w:right="80"/>
        <w:spacing w:after="0" w:line="24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This offering is subject to exemption from the requirements of securities registration with the Philippines Securities and Exchange Commission, under Section 10.1 (k) of the Philippine Securities Regulation Code. Section 10.1(k) of the Philippine Securities Regulation Code provides as follows:</w:t>
      </w:r>
    </w:p>
    <w:p>
      <w:pPr>
        <w:spacing w:after="0" w:line="170" w:lineRule="exact"/>
        <w:rPr>
          <w:sz w:val="20"/>
          <w:szCs w:val="20"/>
          <w:color w:val="auto"/>
        </w:rPr>
      </w:pPr>
    </w:p>
    <w:p>
      <w:pPr>
        <w:ind w:right="160" w:firstLine="633"/>
        <w:spacing w:after="0" w:line="262" w:lineRule="auto"/>
        <w:rPr>
          <w:sz w:val="20"/>
          <w:szCs w:val="20"/>
          <w:color w:val="auto"/>
        </w:rPr>
      </w:pPr>
      <w:r>
        <w:rPr>
          <w:rFonts w:ascii="Arial" w:cs="Arial" w:eastAsia="Arial" w:hAnsi="Arial"/>
          <w:sz w:val="19"/>
          <w:szCs w:val="19"/>
          <w:color w:val="auto"/>
        </w:rPr>
        <w:t>“Section 10.1 Exempt Transactions – The requirement of registration under Subsection 8.1 shall not apply to the sale of any security in any of the following section;</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 .]</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“(k) The sale of securities by an issuer to fewer than twenty (20) persons in the Philippines during any twelve-month period.”</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http://investors.autodesk.com. In addition, Participant may receive, free of charge, a copy of the Company’s Annual Report, Quarterly Reports or any other reports, proxy statements or communications distributed to the Company’s stockholders by contacting john.clancy@autodesk.com.</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Participant acknowledges he or she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POLAND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Polish residents are required to transfer funds (e.g., in connection with the sale of Shares)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ROMANIA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Notwithstanding Section 3 of the Agreement and the vesting provisions set forth in the Notice of Grant, Participant’s Restricted Stock Units will not vest prior to one year anniversary of the Date of Grant.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389" w:right="339" w:bottom="1440" w:gutter="0" w:footer="0" w:header="0"/>
        </w:sectPr>
      </w:pPr>
    </w:p>
    <w:bookmarkStart w:id="143" w:name="page144"/>
    <w:bookmarkEnd w:id="143"/>
    <w:p>
      <w:pPr>
        <w:jc w:val="both"/>
        <w:spacing w:after="0" w:line="26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Romanian residents are required to deposit proceeds from the sale of Shares in a bank account in Romania and may be required to provide the Romanian bank with appropriate documentation explaining the source of the funds. Romanian residents should consult their personal advisor to determine whether they will be required to submit such documentation to the Romanian bank.</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SINGAPORE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Chief Executive Officer and Director Notification Obligation</w:t>
      </w:r>
      <w:r>
        <w:rPr>
          <w:rFonts w:ascii="Arial" w:cs="Arial" w:eastAsia="Arial" w:hAnsi="Arial"/>
          <w:sz w:val="18"/>
          <w:szCs w:val="18"/>
          <w:color w:val="auto"/>
        </w:rPr>
        <w:t>. If Participant is the Chief Executive Officer (“CEO”) or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 Subsidiary or related entity. In addition, a notification must be made of Participant’s interests in the Company or any Subsidiary or related entity within two (2) business days of becoming the CEO or a director, associate director or shadow director of a parent, Subsidiary or affiliate in Singapore.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SPAIN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purposes of the Award, a termination of employment includes any termination that is deemed an “unfair dismissal” or a “constructive dismissal.”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89" w:right="339" w:bottom="1440" w:gutter="0" w:footer="0" w:header="0"/>
        </w:sectPr>
      </w:pPr>
    </w:p>
    <w:bookmarkStart w:id="144" w:name="page145"/>
    <w:bookmarkEnd w:id="144"/>
    <w:p>
      <w:pPr>
        <w:jc w:val="both"/>
        <w:spacing w:after="0" w:line="262" w:lineRule="auto"/>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As a condition of receipt of the Award, Participant acknowledges that he or she understands and agrees to participation in the Plan and that he or she has received a copy of the Plan.</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any grant is given on the assumption and condition that it shall not become a part of any employment contract (either with the Company or any of its Subsidiaries) and shall not be considered a mandatory benefit, salary for any purposes (including severance compensation) or any other right whatsoever.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Furthermore, Participant understands that the Award is a conditional right. Except as determined by the Committee or as provided in the Agreement, Participant shall forfeit any unvested Award upon termination of employment. The terms of this provision apply even if Participant is considered to be unfairly dismissed without good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xml:space="preserve">. Participant must declare the acquisition and sale of Shares to the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(“DGCI”) for statistical purposes. Participant also must declare the ownership of any Shares with the DGCI each January while the Shares are owned, unless the amount of Shares acquired or sold exceeds the applicable threshold (currently €1,502,530), or Participant holds 10% or more of the share capital of the Company or other such amount that would entitle Participant to join the Board, in which case the filing is due within one month after the sale.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When receiving foreign currency payments derived from the ownership of Shares (i.e., dividends or sale proceeds) in excess of €50,000, Participant must inform the financial institution receiving the payment of the basis upon which such payment is made. Participant will need to provide the following information: (i) Participant’s name, address, and fiscal identification number; (ii) the name and corporate domicile of the Company; (iii) the amount of the payment and the currency used; (iv) the country of origin; (v) the reasons for the payment; and (vi) further information that may be required.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No “offer of securities to the public,” as defined under Spanish law, has taken place or will take place in the Spanish territory in connection with the Award. The Agreement has not been nor will it be registered with the </w:t>
      </w:r>
      <w:r>
        <w:rPr>
          <w:rFonts w:ascii="Arial" w:cs="Arial" w:eastAsia="Arial" w:hAnsi="Arial"/>
          <w:sz w:val="19"/>
          <w:szCs w:val="19"/>
          <w:i w:val="1"/>
          <w:iCs w:val="1"/>
          <w:color w:val="auto"/>
        </w:rPr>
        <w:t>Comisión Nacional del Mercado de</w:t>
      </w:r>
      <w:r>
        <w:rPr>
          <w:rFonts w:ascii="Arial" w:cs="Arial" w:eastAsia="Arial" w:hAnsi="Arial"/>
          <w:sz w:val="19"/>
          <w:szCs w:val="19"/>
          <w:color w:val="auto"/>
        </w:rPr>
        <w:t xml:space="preserve"> </w:t>
      </w:r>
      <w:r>
        <w:rPr>
          <w:rFonts w:ascii="Arial" w:cs="Arial" w:eastAsia="Arial" w:hAnsi="Arial"/>
          <w:sz w:val="19"/>
          <w:szCs w:val="19"/>
          <w:i w:val="1"/>
          <w:iCs w:val="1"/>
          <w:color w:val="auto"/>
        </w:rPr>
        <w:t>Valores</w:t>
      </w:r>
      <w:r>
        <w:rPr>
          <w:rFonts w:ascii="Arial" w:cs="Arial" w:eastAsia="Arial" w:hAnsi="Arial"/>
          <w:sz w:val="19"/>
          <w:szCs w:val="19"/>
          <w:color w:val="auto"/>
        </w:rPr>
        <w:t>, and does not constitute a public offering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SWEDEN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No country-specific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389" w:right="3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Restricted Stock Units and the issuance of any Shares is not intended to be publicly offered in or from Switzerland. Neither this Agreement nor any other materials relating to the Restricted Stock Units (1) constitute a prospectus as such term is understood pursuant to article 652a of the Swiss Code of Obligations, (2) may be publicly distributed nor otherwise made publicly available in Switzerland, or (3) have been or will be filed with, approved or supervised by any Swiss regulatory authority (in particular, the Swiss Financial Market Supervisory Authority (“FINMA”)).</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TAIWAN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The offer of participation in the Plan is available only for Employees. The offer of participation in the Plan is not a public offer of securities by a Taiwanese company.</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Taiwanese residents may acquire and remit foreign currency (including funds to purchase or proceeds from the sale of Shares) into and out of Taiwan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THAILAND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Participant realizes US$50,000 or more in a single transaction from the sale of Shares or the payment of dividends, he or she is required to repatriate the funds to Thailand immediately following the receipt of the funds and to then either convert such repatriated funds into Thai Baht or deposit the funds into a foreign currency account opened with any commercial bank in Thailand within 360 days of repatriation. Further, for repatriated funds of US$50,000 or more, Participant must specifically report the inward remittance to the Bank of Thailand on a Foreign Exchange Transaction Form. Participant is personally responsible for complying with exchange control restrictions in Thailand.</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TURKEY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389"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b w:val="1"/>
          <w:bCs w:val="1"/>
          <w:color w:val="auto"/>
        </w:rPr>
        <w:t>UNITED ARAB EMIRATES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This Restricted Stock Unit Award has not been approved or licensed by the United Arab Emirates (“UAE”) Central Bank or any other relevant licensing authorities or governmental agencies in the UAE. This Restricted Stock Unit Award is strictly private and confidential and has not been reviewed by, deposited or registered with the UAE Central Bank or any other licensing authority or governmental agencies in the United Arab Emirates. This Award is being issued from outside the United Arab Emirates to a limited number of Employees of Autodesk Middle East (Representative Office) and must not be provided to any person other than the original recipient and may not be reproduced or used for any other purpose.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KINGDOM</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ind w:right="540"/>
        <w:spacing w:after="0" w:line="262" w:lineRule="auto"/>
        <w:rPr>
          <w:sz w:val="20"/>
          <w:szCs w:val="20"/>
          <w:color w:val="auto"/>
        </w:rPr>
      </w:pPr>
      <w:r>
        <w:rPr>
          <w:rFonts w:ascii="Arial" w:cs="Arial" w:eastAsia="Arial" w:hAnsi="Arial"/>
          <w:sz w:val="19"/>
          <w:szCs w:val="19"/>
          <w:u w:val="single" w:color="auto"/>
          <w:color w:val="auto"/>
        </w:rPr>
        <w:t>Form of Settlement</w:t>
      </w:r>
      <w:r>
        <w:rPr>
          <w:rFonts w:ascii="Arial" w:cs="Arial" w:eastAsia="Arial" w:hAnsi="Arial"/>
          <w:sz w:val="19"/>
          <w:szCs w:val="19"/>
          <w:color w:val="auto"/>
        </w:rPr>
        <w:t>. As detailed in Section 2 of the Agreement and notwithstanding any discretion contained in the Plan or anything to the contrary in the Agreement, the Restricted Stock Units are payable only in Shares.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The following provisions supplement Section 9 of the Agreement: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Participant agrees to be liable for any Tax-Related Items and hereby covenants to pay any such Tax-Related Items, as and when requested by the Company or, if different, the Employer or by Her Majesty’s Revenue &amp; Customs (“HMRC”) (or any other tax authority or any other relevant authority). Participant also agrees to indemnify and keep indemnified the Company and, if different, the Employer against any Tax-Related Items that they are required to pay or withhold or have paid or will pay to HMRC on his or her behalf (or any other tax authority or any other relevant authority).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the foregoing, if Participant is a director or executive officer (within the meaning of Section 13(k) of the Exchange Act), the terms of the immediately foregoing provision may not apply. In the event Participant is a director or executive officer, Participant acknowledges that he or she may not be able to indemnify the Company for the amount of any income tax not collected from or paid by Participant, as it may be considered to be a loan and, therefore, it may constitute a benefit to him or her on which additional income tax and National Insurance contributions may be payable. Participant acknowledges that the Company or the Employer may recover any such additional income tax and national insurance contributions at any time thereafter by any of the means referred to in the Agreement. However, Participant is primarily responsible for reporting and paying any income tax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383"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AUTODESK, INC.</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January 31, 2021</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Subsidiary Name</w:t>
            </w:r>
          </w:p>
        </w:tc>
        <w:tc>
          <w:tcPr>
            <w:tcW w:w="2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Jurisdiction of Incorporation</w:t>
            </w: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1695543 Ontario Inc.</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ADSK Ireland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Assemble Systems, LLC</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w w:val="97"/>
              </w:rPr>
              <w:t>Autodesk (China) Software Research and Development Co., Ltd.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(EMEA) Sárl</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AB</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Americas LLC</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ApS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Asia Pte. Ltd.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Australia Pty. Ltd.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B.V.</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Canada Co.</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Colombia, S.A.S.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 Argentina S.A.</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 Costa Rica, S.R.L.</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Costa Rica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 Mexico, S.A. de C.V.</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 Venezuela, S.A.</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Venezuela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Development B.V.</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Development S.á.r.l.</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Direct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do Brasil Ltda</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Far East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France S.A.S.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Ges.mbH</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Global, Inc.</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GmbH</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Holdings LLP</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Hungary Kft.</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India Private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International Holding Co.</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Ireland Operations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Israel Ltd.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Korea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South Korea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Limited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Ltd. Japan</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Autodesk Netherlands Holdings B.V.</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844"/>
        </w:trPr>
        <w:tc>
          <w:tcPr>
            <w:tcW w:w="5080" w:type="dxa"/>
            <w:vAlign w:val="bottom"/>
          </w:tcPr>
          <w:p>
            <w:pPr>
              <w:spacing w:after="0"/>
              <w:rPr>
                <w:sz w:val="24"/>
                <w:szCs w:val="24"/>
                <w:color w:val="auto"/>
              </w:rPr>
            </w:pPr>
          </w:p>
        </w:tc>
        <w:tc>
          <w:tcPr>
            <w:tcW w:w="2320" w:type="dxa"/>
            <w:vAlign w:val="bottom"/>
          </w:tcPr>
          <w:p>
            <w:pPr>
              <w:jc w:val="right"/>
              <w:ind w:right="167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ectPr>
          <w:pgSz w:w="11900" w:h="16838" w:orient="portrait"/>
          <w:cols w:equalWidth="0" w:num="1">
            <w:col w:w="11220"/>
          </w:cols>
          <w:pgMar w:left="340" w:top="873"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Autodesk Norway AS</w:t>
            </w:r>
          </w:p>
        </w:tc>
        <w:tc>
          <w:tcPr>
            <w:tcW w:w="4060" w:type="dxa"/>
            <w:vAlign w:val="bottom"/>
          </w:tcPr>
          <w:p>
            <w:pPr>
              <w:ind w:left="288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S.r.l.</w:t>
            </w:r>
          </w:p>
        </w:tc>
        <w:tc>
          <w:tcPr>
            <w:tcW w:w="4060" w:type="dxa"/>
            <w:vAlign w:val="bottom"/>
          </w:tcPr>
          <w:p>
            <w:pPr>
              <w:ind w:left="28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S.R.L.</w:t>
            </w:r>
          </w:p>
        </w:tc>
        <w:tc>
          <w:tcPr>
            <w:tcW w:w="4060" w:type="dxa"/>
            <w:vAlign w:val="bottom"/>
          </w:tcPr>
          <w:p>
            <w:pPr>
              <w:ind w:left="2880"/>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SA</w:t>
            </w:r>
          </w:p>
        </w:tc>
        <w:tc>
          <w:tcPr>
            <w:tcW w:w="4060" w:type="dxa"/>
            <w:vAlign w:val="bottom"/>
          </w:tcPr>
          <w:p>
            <w:pPr>
              <w:ind w:left="28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Software (China) Co., Ltd.</w:t>
            </w:r>
          </w:p>
        </w:tc>
        <w:tc>
          <w:tcPr>
            <w:tcW w:w="4060" w:type="dxa"/>
            <w:vAlign w:val="bottom"/>
          </w:tcPr>
          <w:p>
            <w:pPr>
              <w:ind w:left="28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Sp. Z o.o.</w:t>
            </w:r>
          </w:p>
        </w:tc>
        <w:tc>
          <w:tcPr>
            <w:tcW w:w="4060" w:type="dxa"/>
            <w:vAlign w:val="bottom"/>
          </w:tcPr>
          <w:p>
            <w:pPr>
              <w:ind w:left="28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spol. s.r.o.</w:t>
            </w:r>
          </w:p>
        </w:tc>
        <w:tc>
          <w:tcPr>
            <w:tcW w:w="4060" w:type="dxa"/>
            <w:vAlign w:val="bottom"/>
          </w:tcPr>
          <w:p>
            <w:pPr>
              <w:ind w:left="2880"/>
              <w:spacing w:after="0"/>
              <w:rPr>
                <w:sz w:val="20"/>
                <w:szCs w:val="20"/>
                <w:color w:val="auto"/>
              </w:rPr>
            </w:pPr>
            <w:r>
              <w:rPr>
                <w:rFonts w:ascii="Arial" w:cs="Arial" w:eastAsia="Arial" w:hAnsi="Arial"/>
                <w:sz w:val="18"/>
                <w:szCs w:val="18"/>
                <w:color w:val="auto"/>
                <w:w w:val="91"/>
              </w:rPr>
              <w:t>Czech Republic</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Taiwan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UK Holdings Limited</w:t>
            </w:r>
          </w:p>
        </w:tc>
        <w:tc>
          <w:tcPr>
            <w:tcW w:w="4060" w:type="dxa"/>
            <w:vAlign w:val="bottom"/>
          </w:tcPr>
          <w:p>
            <w:pPr>
              <w:ind w:left="2880"/>
              <w:spacing w:after="0"/>
              <w:rPr>
                <w:sz w:val="20"/>
                <w:szCs w:val="20"/>
                <w:color w:val="auto"/>
              </w:rPr>
            </w:pPr>
            <w:r>
              <w:rPr>
                <w:rFonts w:ascii="Arial" w:cs="Arial" w:eastAsia="Arial" w:hAnsi="Arial"/>
                <w:sz w:val="18"/>
                <w:szCs w:val="18"/>
                <w:color w:val="auto"/>
                <w:w w:val="90"/>
              </w:rPr>
              <w:t>United Kingdom</w:t>
            </w:r>
          </w:p>
        </w:tc>
        <w:tc>
          <w:tcPr>
            <w:tcW w:w="0" w:type="dxa"/>
            <w:vAlign w:val="bottom"/>
          </w:tcPr>
          <w:p>
            <w:pPr>
              <w:spacing w:after="0"/>
              <w:rPr>
                <w:sz w:val="1"/>
                <w:szCs w:val="1"/>
                <w:color w:val="auto"/>
              </w:rPr>
            </w:pPr>
          </w:p>
        </w:tc>
      </w:tr>
      <w:tr>
        <w:trPr>
          <w:trHeight w:val="173"/>
        </w:trPr>
        <w:tc>
          <w:tcPr>
            <w:tcW w:w="4660" w:type="dxa"/>
            <w:vAlign w:val="bottom"/>
          </w:tcPr>
          <w:p>
            <w:pPr>
              <w:spacing w:after="0" w:line="173" w:lineRule="exact"/>
              <w:rPr>
                <w:sz w:val="20"/>
                <w:szCs w:val="20"/>
                <w:color w:val="auto"/>
              </w:rPr>
            </w:pPr>
            <w:r>
              <w:rPr>
                <w:rFonts w:ascii="Arial" w:cs="Arial" w:eastAsia="Arial" w:hAnsi="Arial"/>
                <w:sz w:val="18"/>
                <w:szCs w:val="18"/>
                <w:color w:val="auto"/>
              </w:rPr>
              <w:t>Autodesk Yazilim Hizmetleri Ticaret Limited Sirketi</w:t>
            </w:r>
          </w:p>
        </w:tc>
        <w:tc>
          <w:tcPr>
            <w:tcW w:w="4060" w:type="dxa"/>
            <w:vAlign w:val="bottom"/>
            <w:vMerge w:val="restart"/>
          </w:tcPr>
          <w:p>
            <w:pPr>
              <w:ind w:left="28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(Autodesk Limited Sirketi)</w:t>
            </w:r>
          </w:p>
        </w:tc>
        <w:tc>
          <w:tcPr>
            <w:tcW w:w="4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S.A.</w:t>
            </w:r>
          </w:p>
        </w:tc>
        <w:tc>
          <w:tcPr>
            <w:tcW w:w="4060" w:type="dxa"/>
            <w:vAlign w:val="bottom"/>
          </w:tcPr>
          <w:p>
            <w:pPr>
              <w:ind w:left="28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Autodesk Inc Jordan PSC</w:t>
            </w:r>
          </w:p>
        </w:tc>
        <w:tc>
          <w:tcPr>
            <w:tcW w:w="4060" w:type="dxa"/>
            <w:vAlign w:val="bottom"/>
          </w:tcPr>
          <w:p>
            <w:pPr>
              <w:ind w:left="2880"/>
              <w:spacing w:after="0"/>
              <w:rPr>
                <w:sz w:val="20"/>
                <w:szCs w:val="20"/>
                <w:color w:val="auto"/>
              </w:rPr>
            </w:pPr>
            <w:r>
              <w:rPr>
                <w:rFonts w:ascii="Arial" w:cs="Arial" w:eastAsia="Arial" w:hAnsi="Arial"/>
                <w:sz w:val="18"/>
                <w:szCs w:val="18"/>
                <w:color w:val="auto"/>
              </w:rPr>
              <w:t>Jordan</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BuildingConnected, Inc.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CadSoft Computer GmbH</w:t>
            </w:r>
          </w:p>
        </w:tc>
        <w:tc>
          <w:tcPr>
            <w:tcW w:w="4060" w:type="dxa"/>
            <w:vAlign w:val="bottom"/>
          </w:tcPr>
          <w:p>
            <w:pPr>
              <w:ind w:left="28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CAMplete Solutions, Inc.</w:t>
            </w:r>
          </w:p>
        </w:tc>
        <w:tc>
          <w:tcPr>
            <w:tcW w:w="4060" w:type="dxa"/>
            <w:vAlign w:val="bottom"/>
          </w:tcPr>
          <w:p>
            <w:pPr>
              <w:ind w:left="28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Crispin Systems Limited</w:t>
            </w:r>
          </w:p>
        </w:tc>
        <w:tc>
          <w:tcPr>
            <w:tcW w:w="4060" w:type="dxa"/>
            <w:vAlign w:val="bottom"/>
          </w:tcPr>
          <w:p>
            <w:pPr>
              <w:ind w:left="2880"/>
              <w:spacing w:after="0"/>
              <w:rPr>
                <w:sz w:val="20"/>
                <w:szCs w:val="20"/>
                <w:color w:val="auto"/>
              </w:rPr>
            </w:pPr>
            <w:r>
              <w:rPr>
                <w:rFonts w:ascii="Arial" w:cs="Arial" w:eastAsia="Arial" w:hAnsi="Arial"/>
                <w:sz w:val="18"/>
                <w:szCs w:val="18"/>
                <w:color w:val="auto"/>
                <w:w w:val="90"/>
              </w:rPr>
              <w:t>United Kingdom</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(Malaysia) Sdn. Bhd</w:t>
            </w:r>
          </w:p>
        </w:tc>
        <w:tc>
          <w:tcPr>
            <w:tcW w:w="4060" w:type="dxa"/>
            <w:vAlign w:val="bottom"/>
          </w:tcPr>
          <w:p>
            <w:pPr>
              <w:ind w:left="288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Australia Pty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Consulting and Technology Services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Indonesia</w:t>
            </w:r>
          </w:p>
        </w:tc>
        <w:tc>
          <w:tcPr>
            <w:tcW w:w="40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Limited</w:t>
            </w:r>
          </w:p>
        </w:tc>
        <w:tc>
          <w:tcPr>
            <w:tcW w:w="4060" w:type="dxa"/>
            <w:vAlign w:val="bottom"/>
          </w:tcPr>
          <w:p>
            <w:pPr>
              <w:ind w:left="2880"/>
              <w:spacing w:after="0"/>
              <w:rPr>
                <w:sz w:val="20"/>
                <w:szCs w:val="20"/>
                <w:color w:val="auto"/>
              </w:rPr>
            </w:pPr>
            <w:r>
              <w:rPr>
                <w:rFonts w:ascii="Arial" w:cs="Arial" w:eastAsia="Arial" w:hAnsi="Arial"/>
                <w:sz w:val="18"/>
                <w:szCs w:val="18"/>
                <w:color w:val="auto"/>
                <w:w w:val="90"/>
              </w:rPr>
              <w:t>United Kingdom</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Professional Services Limited</w:t>
            </w:r>
          </w:p>
        </w:tc>
        <w:tc>
          <w:tcPr>
            <w:tcW w:w="4060" w:type="dxa"/>
            <w:vAlign w:val="bottom"/>
          </w:tcPr>
          <w:p>
            <w:pPr>
              <w:ind w:left="2880"/>
              <w:spacing w:after="0"/>
              <w:rPr>
                <w:sz w:val="20"/>
                <w:szCs w:val="20"/>
                <w:color w:val="auto"/>
              </w:rPr>
            </w:pPr>
            <w:r>
              <w:rPr>
                <w:rFonts w:ascii="Arial" w:cs="Arial" w:eastAsia="Arial" w:hAnsi="Arial"/>
                <w:sz w:val="18"/>
                <w:szCs w:val="18"/>
                <w:color w:val="auto"/>
                <w:w w:val="90"/>
              </w:rPr>
              <w:t>United Kingdom</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Delcam Software (India) Private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Delta Soft LLC</w:t>
            </w:r>
          </w:p>
        </w:tc>
        <w:tc>
          <w:tcPr>
            <w:tcW w:w="4060" w:type="dxa"/>
            <w:vAlign w:val="bottom"/>
          </w:tcPr>
          <w:p>
            <w:pPr>
              <w:ind w:left="288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Graitec GmbH</w:t>
            </w:r>
          </w:p>
        </w:tc>
        <w:tc>
          <w:tcPr>
            <w:tcW w:w="4060" w:type="dxa"/>
            <w:vAlign w:val="bottom"/>
          </w:tcPr>
          <w:p>
            <w:pPr>
              <w:ind w:left="28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Hankook Delcam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Limited Liability Company Autodesk (CIS)</w:t>
            </w:r>
          </w:p>
        </w:tc>
        <w:tc>
          <w:tcPr>
            <w:tcW w:w="4060" w:type="dxa"/>
            <w:vAlign w:val="bottom"/>
          </w:tcPr>
          <w:p>
            <w:pPr>
              <w:ind w:left="288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netfabb GmbH</w:t>
            </w:r>
          </w:p>
        </w:tc>
        <w:tc>
          <w:tcPr>
            <w:tcW w:w="4060" w:type="dxa"/>
            <w:vAlign w:val="bottom"/>
          </w:tcPr>
          <w:p>
            <w:pPr>
              <w:ind w:left="28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netfabb Inc.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PlanGrid Australia Pty Ltd.</w:t>
            </w:r>
          </w:p>
        </w:tc>
        <w:tc>
          <w:tcPr>
            <w:tcW w:w="4060" w:type="dxa"/>
            <w:vAlign w:val="bottom"/>
          </w:tcPr>
          <w:p>
            <w:pPr>
              <w:ind w:left="28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PlanGrid Canada ULC</w:t>
            </w:r>
          </w:p>
        </w:tc>
        <w:tc>
          <w:tcPr>
            <w:tcW w:w="4060" w:type="dxa"/>
            <w:vAlign w:val="bottom"/>
          </w:tcPr>
          <w:p>
            <w:pPr>
              <w:ind w:left="28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PlanGrid Hong Kong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PlanGrid, Inc.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Pype LLC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Pype Technologies Private Limited</w:t>
            </w:r>
          </w:p>
        </w:tc>
        <w:tc>
          <w:tcPr>
            <w:tcW w:w="4060" w:type="dxa"/>
            <w:vAlign w:val="bottom"/>
          </w:tcPr>
          <w:p>
            <w:pPr>
              <w:ind w:left="28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Shotgun Software, LLC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Spacemaker AEC Software Oy</w:t>
            </w:r>
          </w:p>
        </w:tc>
        <w:tc>
          <w:tcPr>
            <w:tcW w:w="4060" w:type="dxa"/>
            <w:vAlign w:val="bottom"/>
          </w:tcPr>
          <w:p>
            <w:pPr>
              <w:ind w:left="2880"/>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Spacemaker AS Norway</w:t>
            </w:r>
          </w:p>
        </w:tc>
        <w:tc>
          <w:tcPr>
            <w:tcW w:w="4060" w:type="dxa"/>
            <w:vAlign w:val="bottom"/>
          </w:tcPr>
          <w:p>
            <w:pPr>
              <w:ind w:left="288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Spacemaker France SAS</w:t>
            </w:r>
          </w:p>
        </w:tc>
        <w:tc>
          <w:tcPr>
            <w:tcW w:w="4060" w:type="dxa"/>
            <w:vAlign w:val="bottom"/>
          </w:tcPr>
          <w:p>
            <w:pPr>
              <w:ind w:left="28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Spacemaker Sweden AB</w:t>
            </w:r>
          </w:p>
        </w:tc>
        <w:tc>
          <w:tcPr>
            <w:tcW w:w="4060" w:type="dxa"/>
            <w:vAlign w:val="bottom"/>
          </w:tcPr>
          <w:p>
            <w:pPr>
              <w:ind w:left="288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Spacemaker US Inc.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Solid Angle S.L.U.</w:t>
            </w:r>
          </w:p>
        </w:tc>
        <w:tc>
          <w:tcPr>
            <w:tcW w:w="4060" w:type="dxa"/>
            <w:vAlign w:val="bottom"/>
          </w:tcPr>
          <w:p>
            <w:pPr>
              <w:ind w:left="28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TradeTapp, Inc.</w:t>
            </w:r>
          </w:p>
        </w:tc>
        <w:tc>
          <w:tcPr>
            <w:tcW w:w="4060" w:type="dxa"/>
            <w:vAlign w:val="bottom"/>
          </w:tcPr>
          <w:p>
            <w:pPr>
              <w:ind w:left="28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Within Technologies Limited</w:t>
            </w:r>
          </w:p>
        </w:tc>
        <w:tc>
          <w:tcPr>
            <w:tcW w:w="4060" w:type="dxa"/>
            <w:vAlign w:val="bottom"/>
          </w:tcPr>
          <w:p>
            <w:pPr>
              <w:ind w:left="2880"/>
              <w:spacing w:after="0"/>
              <w:rPr>
                <w:sz w:val="20"/>
                <w:szCs w:val="20"/>
                <w:color w:val="auto"/>
              </w:rPr>
            </w:pPr>
            <w:r>
              <w:rPr>
                <w:rFonts w:ascii="Arial" w:cs="Arial" w:eastAsia="Arial" w:hAnsi="Arial"/>
                <w:sz w:val="18"/>
                <w:szCs w:val="18"/>
                <w:color w:val="auto"/>
                <w:w w:val="90"/>
              </w:rPr>
              <w:t>United Kingdom</w:t>
            </w:r>
          </w:p>
        </w:tc>
        <w:tc>
          <w:tcPr>
            <w:tcW w:w="0" w:type="dxa"/>
            <w:vAlign w:val="bottom"/>
          </w:tcPr>
          <w:p>
            <w:pPr>
              <w:spacing w:after="0"/>
              <w:rPr>
                <w:sz w:val="1"/>
                <w:szCs w:val="1"/>
                <w:color w:val="auto"/>
              </w:rPr>
            </w:pPr>
          </w:p>
        </w:tc>
      </w:tr>
      <w:tr>
        <w:trPr>
          <w:trHeight w:val="831"/>
        </w:trPr>
        <w:tc>
          <w:tcPr>
            <w:tcW w:w="4660" w:type="dxa"/>
            <w:vAlign w:val="bottom"/>
          </w:tcPr>
          <w:p>
            <w:pPr>
              <w:spacing w:after="0"/>
              <w:rPr>
                <w:sz w:val="24"/>
                <w:szCs w:val="24"/>
                <w:color w:val="auto"/>
              </w:rPr>
            </w:pPr>
          </w:p>
        </w:tc>
        <w:tc>
          <w:tcPr>
            <w:tcW w:w="4060" w:type="dxa"/>
            <w:vAlign w:val="bottom"/>
          </w:tcPr>
          <w:p>
            <w:pPr>
              <w:ind w:left="8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099"/>
          </w:cols>
          <w:pgMar w:left="360" w:top="1011"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4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Form S-3ASR</w:t>
            </w:r>
          </w:p>
        </w:tc>
        <w:tc>
          <w:tcPr>
            <w:tcW w:w="1380" w:type="dxa"/>
            <w:vAlign w:val="bottom"/>
          </w:tcPr>
          <w:p>
            <w:pPr>
              <w:ind w:left="200"/>
              <w:spacing w:after="0"/>
              <w:rPr>
                <w:sz w:val="20"/>
                <w:szCs w:val="20"/>
                <w:color w:val="auto"/>
              </w:rPr>
            </w:pPr>
            <w:r>
              <w:rPr>
                <w:rFonts w:ascii="Arial" w:cs="Arial" w:eastAsia="Arial" w:hAnsi="Arial"/>
                <w:sz w:val="18"/>
                <w:szCs w:val="18"/>
                <w:color w:val="auto"/>
              </w:rPr>
              <w:t>333-248557</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Senior Debt Securities</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333-229346</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Amended and Restated BuildingConnected, Inc. 2013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333-228934</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PlanGrid 2012 Equity Incentive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S-3ASR</w:t>
            </w:r>
          </w:p>
        </w:tc>
        <w:tc>
          <w:tcPr>
            <w:tcW w:w="1380" w:type="dxa"/>
            <w:vAlign w:val="bottom"/>
          </w:tcPr>
          <w:p>
            <w:pPr>
              <w:ind w:left="200"/>
              <w:spacing w:after="0"/>
              <w:rPr>
                <w:sz w:val="20"/>
                <w:szCs w:val="20"/>
                <w:color w:val="auto"/>
              </w:rPr>
            </w:pPr>
            <w:r>
              <w:rPr>
                <w:rFonts w:ascii="Arial" w:cs="Arial" w:eastAsia="Arial" w:hAnsi="Arial"/>
                <w:sz w:val="18"/>
                <w:szCs w:val="18"/>
                <w:color w:val="auto"/>
              </w:rPr>
              <w:t>333-226196</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Common Stock</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333-223861</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2012 Employee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333-213701</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333-205038</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w w:val="94"/>
              </w:rPr>
              <w:t>Autodesk, Inc. 1998 Employee Qualified Stock Purchase Plan and Autodesk, Inc. 2012 Employee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333-194463</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w w:val="94"/>
              </w:rPr>
              <w:t>Autodesk, Inc. 1998 Employee Qualified Stock Purchase Plan and Autodesk, Inc. 2012 Employee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333-187338</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173"/>
        </w:trPr>
        <w:tc>
          <w:tcPr>
            <w:tcW w:w="1220" w:type="dxa"/>
            <w:vAlign w:val="bottom"/>
          </w:tcPr>
          <w:p>
            <w:pPr>
              <w:spacing w:after="0" w:line="173"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3" w:lineRule="exact"/>
              <w:rPr>
                <w:sz w:val="20"/>
                <w:szCs w:val="20"/>
                <w:color w:val="auto"/>
              </w:rPr>
            </w:pPr>
            <w:r>
              <w:rPr>
                <w:rFonts w:ascii="Arial" w:cs="Arial" w:eastAsia="Arial" w:hAnsi="Arial"/>
                <w:sz w:val="18"/>
                <w:szCs w:val="18"/>
                <w:color w:val="auto"/>
              </w:rPr>
              <w:t>333-179514</w:t>
            </w:r>
          </w:p>
        </w:tc>
        <w:tc>
          <w:tcPr>
            <w:tcW w:w="8560" w:type="dxa"/>
            <w:vAlign w:val="bottom"/>
            <w:gridSpan w:val="2"/>
          </w:tcPr>
          <w:p>
            <w:pPr>
              <w:ind w:left="320"/>
              <w:spacing w:after="0" w:line="173" w:lineRule="exact"/>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23"/>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2012 Outside Directors'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333-172936</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333-165561</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w w:val="88"/>
              </w:rPr>
              <w:t>Autodesk, Inc. 1998 Employee Qualified Stock Purchase Plan and Autodesk, Inc. 2010 Outside Directors' Stock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333-158131</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333-149964</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173"/>
        </w:trPr>
        <w:tc>
          <w:tcPr>
            <w:tcW w:w="1220" w:type="dxa"/>
            <w:vAlign w:val="bottom"/>
          </w:tcPr>
          <w:p>
            <w:pPr>
              <w:spacing w:after="0" w:line="173"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3" w:lineRule="exact"/>
              <w:rPr>
                <w:sz w:val="20"/>
                <w:szCs w:val="20"/>
                <w:color w:val="auto"/>
              </w:rPr>
            </w:pPr>
            <w:r>
              <w:rPr>
                <w:rFonts w:ascii="Arial" w:cs="Arial" w:eastAsia="Arial" w:hAnsi="Arial"/>
                <w:sz w:val="18"/>
                <w:szCs w:val="18"/>
                <w:color w:val="auto"/>
              </w:rPr>
              <w:t>333-133015</w:t>
            </w:r>
          </w:p>
        </w:tc>
        <w:tc>
          <w:tcPr>
            <w:tcW w:w="8560" w:type="dxa"/>
            <w:vAlign w:val="bottom"/>
            <w:gridSpan w:val="2"/>
          </w:tcPr>
          <w:p>
            <w:pPr>
              <w:ind w:left="320"/>
              <w:spacing w:after="0" w:line="173" w:lineRule="exact"/>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23"/>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333-88682</w:t>
            </w: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w w:val="88"/>
              </w:rPr>
              <w:t>Revit Technology Corporation 1998 Stock Plan, 1996 Stock Plan and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173"/>
        </w:trPr>
        <w:tc>
          <w:tcPr>
            <w:tcW w:w="1220" w:type="dxa"/>
            <w:vAlign w:val="bottom"/>
          </w:tcPr>
          <w:p>
            <w:pPr>
              <w:spacing w:after="0" w:line="173"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3" w:lineRule="exact"/>
              <w:rPr>
                <w:sz w:val="20"/>
                <w:szCs w:val="20"/>
                <w:color w:val="auto"/>
              </w:rPr>
            </w:pPr>
            <w:r>
              <w:rPr>
                <w:rFonts w:ascii="Arial" w:cs="Arial" w:eastAsia="Arial" w:hAnsi="Arial"/>
                <w:sz w:val="18"/>
                <w:szCs w:val="18"/>
                <w:color w:val="auto"/>
              </w:rPr>
              <w:t>333-08693</w:t>
            </w:r>
          </w:p>
        </w:tc>
        <w:tc>
          <w:tcPr>
            <w:tcW w:w="680" w:type="dxa"/>
            <w:vAlign w:val="bottom"/>
          </w:tcPr>
          <w:p>
            <w:pPr>
              <w:ind w:left="320"/>
              <w:spacing w:after="0" w:line="173" w:lineRule="exact"/>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line="173" w:lineRule="exact"/>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23"/>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w w:val="84"/>
              </w:rPr>
              <w:t>1996</w:t>
            </w:r>
          </w:p>
        </w:tc>
        <w:tc>
          <w:tcPr>
            <w:tcW w:w="7880" w:type="dxa"/>
            <w:vAlign w:val="bottom"/>
          </w:tcPr>
          <w:p>
            <w:pPr>
              <w:ind w:left="20"/>
              <w:spacing w:after="0"/>
              <w:rPr>
                <w:sz w:val="20"/>
                <w:szCs w:val="20"/>
                <w:color w:val="auto"/>
              </w:rPr>
            </w:pPr>
            <w:r>
              <w:rPr>
                <w:rFonts w:ascii="Arial" w:cs="Arial" w:eastAsia="Arial" w:hAnsi="Arial"/>
                <w:sz w:val="18"/>
                <w:szCs w:val="18"/>
                <w:color w:val="auto"/>
              </w:rPr>
              <w:t>Stock Plan</w:t>
            </w:r>
          </w:p>
        </w:tc>
      </w:tr>
    </w:tbl>
    <w:p>
      <w:pPr>
        <w:spacing w:after="0" w:line="305" w:lineRule="exact"/>
        <w:rPr>
          <w:sz w:val="20"/>
          <w:szCs w:val="20"/>
          <w:color w:val="auto"/>
        </w:rPr>
      </w:pPr>
    </w:p>
    <w:p>
      <w:pPr>
        <w:ind w:right="380"/>
        <w:spacing w:after="0" w:line="363" w:lineRule="auto"/>
        <w:rPr>
          <w:sz w:val="20"/>
          <w:szCs w:val="20"/>
          <w:color w:val="auto"/>
        </w:rPr>
      </w:pPr>
      <w:r>
        <w:rPr>
          <w:rFonts w:ascii="Arial" w:cs="Arial" w:eastAsia="Arial" w:hAnsi="Arial"/>
          <w:sz w:val="15"/>
          <w:szCs w:val="15"/>
          <w:color w:val="auto"/>
        </w:rPr>
        <w:t>of our reports dated March 19, 2021, with respect to the consolidated financial statements and schedule of Autodesk, Inc., and the effectiveness of internal control over financial reporting of Autodesk, Inc., included in this Annual Report (Form 10-K) of Autodesk, Inc. for the year ended January 31, 2021.</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ectPr>
          <w:pgSz w:w="11900" w:h="16838" w:orient="portrait"/>
          <w:cols w:equalWidth="0" w:num="1">
            <w:col w:w="11240"/>
          </w:cols>
          <w:pgMar w:left="320" w:top="873"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96" w:lineRule="exact"/>
        <w:rPr>
          <w:sz w:val="20"/>
          <w:szCs w:val="20"/>
          <w:color w:val="auto"/>
        </w:rPr>
      </w:pPr>
    </w:p>
    <w:p>
      <w:pPr>
        <w:ind w:left="320" w:hanging="314"/>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83" w:lineRule="exact"/>
        <w:rPr>
          <w:rFonts w:ascii="Arial" w:cs="Arial" w:eastAsia="Arial" w:hAnsi="Arial"/>
          <w:sz w:val="18"/>
          <w:szCs w:val="18"/>
          <w:color w:val="auto"/>
        </w:rPr>
      </w:pPr>
    </w:p>
    <w:p>
      <w:pPr>
        <w:ind w:left="320" w:right="200" w:hanging="314"/>
        <w:spacing w:after="0" w:line="357" w:lineRule="auto"/>
        <w:tabs>
          <w:tab w:leader="none" w:pos="3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hanging="314"/>
        <w:spacing w:after="0" w:line="262"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20" w:right="140" w:hanging="314"/>
        <w:spacing w:after="0" w:line="253"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left="640" w:right="140" w:hanging="318"/>
        <w:spacing w:after="0" w:line="253" w:lineRule="auto"/>
        <w:tabs>
          <w:tab w:leader="none" w:pos="63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120" w:hanging="318"/>
        <w:spacing w:after="0" w:line="253" w:lineRule="auto"/>
        <w:tabs>
          <w:tab w:leader="none" w:pos="6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180" w:hanging="318"/>
        <w:spacing w:after="0" w:line="325" w:lineRule="auto"/>
        <w:tabs>
          <w:tab w:leader="none" w:pos="63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40" w:right="20" w:hanging="318"/>
        <w:spacing w:after="0" w:line="253" w:lineRule="auto"/>
        <w:tabs>
          <w:tab w:leader="none" w:pos="6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right="260" w:hanging="318"/>
        <w:spacing w:after="0" w:line="325" w:lineRule="auto"/>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960" w:right="220" w:hanging="321"/>
        <w:spacing w:after="0" w:line="325" w:lineRule="auto"/>
        <w:tabs>
          <w:tab w:leader="none" w:pos="9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960" w:right="180" w:hanging="321"/>
        <w:spacing w:after="0" w:line="262" w:lineRule="auto"/>
        <w:tabs>
          <w:tab w:leader="none" w:pos="94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10160</wp:posOffset>
            </wp:positionV>
            <wp:extent cx="3056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Andrew Anagnost</w:t>
      </w:r>
    </w:p>
    <w:p>
      <w:pPr>
        <w:spacing w:after="0" w:line="19"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President and Chief Executive Officer</w:t>
      </w:r>
    </w:p>
    <w:p>
      <w:pPr>
        <w:ind w:left="7860"/>
        <w:spacing w:after="0"/>
        <w:rPr>
          <w:sz w:val="20"/>
          <w:szCs w:val="20"/>
          <w:color w:val="auto"/>
        </w:rPr>
      </w:pPr>
      <w:r>
        <w:rPr>
          <w:rFonts w:ascii="Arial" w:cs="Arial" w:eastAsia="Arial" w:hAnsi="Arial"/>
          <w:sz w:val="16"/>
          <w:szCs w:val="16"/>
          <w:b w:val="1"/>
          <w:bCs w:val="1"/>
          <w:color w:val="auto"/>
        </w:rPr>
        <w:t>(Principal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2021</w:t>
      </w:r>
    </w:p>
    <w:p>
      <w:pPr>
        <w:sectPr>
          <w:pgSz w:w="11900" w:h="16838" w:orient="portrait"/>
          <w:cols w:equalWidth="0" w:num="1">
            <w:col w:w="11240"/>
          </w:cols>
          <w:pgMar w:left="320" w:top="1203"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Deborah L. Clifford, certify that:</w:t>
      </w:r>
    </w:p>
    <w:p>
      <w:pPr>
        <w:spacing w:after="0" w:line="96" w:lineRule="exact"/>
        <w:rPr>
          <w:sz w:val="20"/>
          <w:szCs w:val="20"/>
          <w:color w:val="auto"/>
        </w:rPr>
      </w:pPr>
    </w:p>
    <w:p>
      <w:pPr>
        <w:ind w:left="320" w:hanging="314"/>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83" w:lineRule="exact"/>
        <w:rPr>
          <w:rFonts w:ascii="Arial" w:cs="Arial" w:eastAsia="Arial" w:hAnsi="Arial"/>
          <w:sz w:val="18"/>
          <w:szCs w:val="18"/>
          <w:color w:val="auto"/>
        </w:rPr>
      </w:pPr>
    </w:p>
    <w:p>
      <w:pPr>
        <w:ind w:left="320" w:right="200" w:hanging="314"/>
        <w:spacing w:after="0" w:line="357" w:lineRule="auto"/>
        <w:tabs>
          <w:tab w:leader="none" w:pos="3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hanging="314"/>
        <w:spacing w:after="0" w:line="262"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20" w:right="140" w:hanging="314"/>
        <w:spacing w:after="0" w:line="253"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left="640" w:right="140" w:hanging="318"/>
        <w:spacing w:after="0" w:line="253" w:lineRule="auto"/>
        <w:tabs>
          <w:tab w:leader="none" w:pos="631"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120" w:hanging="318"/>
        <w:spacing w:after="0" w:line="253" w:lineRule="auto"/>
        <w:tabs>
          <w:tab w:leader="none" w:pos="62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180" w:hanging="318"/>
        <w:spacing w:after="0" w:line="325" w:lineRule="auto"/>
        <w:tabs>
          <w:tab w:leader="none" w:pos="631"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40" w:right="20" w:hanging="318"/>
        <w:spacing w:after="0" w:line="253" w:lineRule="auto"/>
        <w:tabs>
          <w:tab w:leader="none" w:pos="62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right="260" w:hanging="318"/>
        <w:spacing w:after="0" w:line="325"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960" w:right="220" w:hanging="321"/>
        <w:spacing w:after="0" w:line="325" w:lineRule="auto"/>
        <w:tabs>
          <w:tab w:leader="none" w:pos="951"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960" w:right="180" w:hanging="321"/>
        <w:spacing w:after="0" w:line="262" w:lineRule="auto"/>
        <w:tabs>
          <w:tab w:leader="none" w:pos="9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10160</wp:posOffset>
            </wp:positionV>
            <wp:extent cx="3350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Deborah L. Clifford</w:t>
      </w:r>
    </w:p>
    <w:p>
      <w:pPr>
        <w:spacing w:after="0" w:line="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2021</w:t>
      </w:r>
    </w:p>
    <w:p>
      <w:pPr>
        <w:sectPr>
          <w:pgSz w:w="11900" w:h="16838" w:orient="portrait"/>
          <w:cols w:equalWidth="0" w:num="1">
            <w:col w:w="11240"/>
          </w:cols>
          <w:pgMar w:left="320" w:top="1203"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2021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14"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10160</wp:posOffset>
            </wp:positionV>
            <wp:extent cx="3056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Andrew Anagnost</w:t>
      </w:r>
    </w:p>
    <w:p>
      <w:pPr>
        <w:spacing w:after="0" w:line="19"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President and Chief Executive Officer</w:t>
      </w:r>
    </w:p>
    <w:p>
      <w:pPr>
        <w:ind w:left="7860"/>
        <w:spacing w:after="0"/>
        <w:rPr>
          <w:sz w:val="20"/>
          <w:szCs w:val="20"/>
          <w:color w:val="auto"/>
        </w:rPr>
      </w:pPr>
      <w:r>
        <w:rPr>
          <w:rFonts w:ascii="Arial" w:cs="Arial" w:eastAsia="Arial" w:hAnsi="Arial"/>
          <w:sz w:val="16"/>
          <w:szCs w:val="16"/>
          <w:b w:val="1"/>
          <w:bCs w:val="1"/>
          <w:color w:val="auto"/>
        </w:rPr>
        <w:t>(Principal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80" w:firstLine="316"/>
        <w:spacing w:after="0" w:line="250" w:lineRule="auto"/>
        <w:rPr>
          <w:sz w:val="20"/>
          <w:szCs w:val="20"/>
          <w:color w:val="auto"/>
        </w:rPr>
      </w:pPr>
      <w:r>
        <w:rPr>
          <w:rFonts w:ascii="Arial" w:cs="Arial" w:eastAsia="Arial" w:hAnsi="Arial"/>
          <w:sz w:val="18"/>
          <w:szCs w:val="18"/>
          <w:color w:val="auto"/>
        </w:rPr>
        <w:t>Based on my knowledge, I, Deborah L. Clifford, certify, pursuant to 18 U.S.C. Section 1350, as adopted pursuant to Section 906 of the Sarbanes-Oxley Act of 2002, that the Annual Report of Autodesk, Inc. on Form 10-K for the annual period ended January 31, 2021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14"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10160</wp:posOffset>
            </wp:positionV>
            <wp:extent cx="3056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Deborah L. Clifford</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(Principal Financial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sectPr>
      <w:pgSz w:w="11900" w:h="16838" w:orient="portrait"/>
      <w:cols w:equalWidth="0" w:num="1">
        <w:col w:w="11240"/>
      </w:cols>
      <w:pgMar w:left="320" w:top="12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lowerRoman"/>
      <w:start w:val="1"/>
    </w:lvl>
  </w:abstractNum>
  <w:abstractNum w:abstractNumId="43">
    <w:nsid w:val="799D0247"/>
    <w:multiLevelType w:val="hybridMultilevel"/>
    <w:lvl w:ilvl="0">
      <w:lvlJc w:val="left"/>
      <w:lvlText w:val="%1."/>
      <w:numFmt w:val="decimal"/>
      <w:start w:val="3"/>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4"/>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decimal"/>
      <w:start w:val="6"/>
    </w:lvl>
  </w:abstractNum>
  <w:abstractNum w:abstractNumId="52">
    <w:nsid w:val="51D9C564"/>
    <w:multiLevelType w:val="hybridMultilevel"/>
    <w:lvl w:ilvl="0">
      <w:lvlJc w:val="left"/>
      <w:lvlText w:val="%1."/>
      <w:numFmt w:val="decimal"/>
      <w:start w:val="7"/>
    </w:lvl>
  </w:abstractNum>
  <w:abstractNum w:abstractNumId="53">
    <w:nsid w:val="613EFDC5"/>
    <w:multiLevelType w:val="hybridMultilevel"/>
    <w:lvl w:ilvl="0">
      <w:lvlJc w:val="left"/>
      <w:lvlText w:val="%1."/>
      <w:numFmt w:val="decimal"/>
      <w:start w:val="8"/>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10"/>
    </w:lvl>
  </w:abstractNum>
  <w:abstractNum w:abstractNumId="56">
    <w:nsid w:val="42963E5A"/>
    <w:multiLevelType w:val="hybridMultilevel"/>
    <w:lvl w:ilvl="0">
      <w:lvlJc w:val="left"/>
      <w:lvlText w:val="%1."/>
      <w:numFmt w:val="decimal"/>
      <w:start w:val="11"/>
    </w:lvl>
  </w:abstractNum>
  <w:abstractNum w:abstractNumId="57">
    <w:nsid w:val="A0382C5"/>
    <w:multiLevelType w:val="hybridMultilevel"/>
    <w:lvl w:ilvl="0">
      <w:lvlJc w:val="left"/>
      <w:lvlText w:val="%1."/>
      <w:numFmt w:val="decimal"/>
      <w:start w:val="13"/>
    </w:lvl>
  </w:abstractNum>
  <w:abstractNum w:abstractNumId="58">
    <w:nsid w:val="8F2B15E"/>
    <w:multiLevelType w:val="hybridMultilevel"/>
    <w:lvl w:ilvl="0">
      <w:lvlJc w:val="left"/>
      <w:lvlText w:val="%1."/>
      <w:numFmt w:val="decimal"/>
      <w:start w:val="14"/>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15"/>
    </w:lvl>
  </w:abstractNum>
  <w:abstractNum w:abstractNumId="61">
    <w:nsid w:val="68EB2F63"/>
    <w:multiLevelType w:val="hybridMultilevel"/>
    <w:lvl w:ilvl="0">
      <w:lvlJc w:val="left"/>
      <w:lvlText w:val="%1."/>
      <w:numFmt w:val="decimal"/>
      <w:start w:val="16"/>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7"/>
    </w:lvl>
  </w:abstractNum>
  <w:abstractNum w:abstractNumId="64">
    <w:nsid w:val="6A5EE64"/>
    <w:multiLevelType w:val="hybridMultilevel"/>
    <w:lvl w:ilvl="0">
      <w:lvlJc w:val="left"/>
      <w:lvlText w:val="(%1)"/>
      <w:numFmt w:val="lowerRoman"/>
      <w:start w:val="1"/>
    </w:lvl>
  </w:abstractNum>
  <w:abstractNum w:abstractNumId="65">
    <w:nsid w:val="14330624"/>
    <w:multiLevelType w:val="hybridMultilevel"/>
    <w:lvl w:ilvl="0">
      <w:lvlJc w:val="left"/>
      <w:lvlText w:val="(%1)"/>
      <w:numFmt w:val="lowerLetter"/>
      <w:start w:val="1"/>
    </w:lvl>
    <w:lvl w:ilvl="1">
      <w:lvlJc w:val="left"/>
      <w:lvlText w:val="%2."/>
      <w:numFmt w:val="decimal"/>
      <w:start w:val="1"/>
    </w:lvl>
  </w:abstractNum>
  <w:abstractNum w:abstractNumId="66">
    <w:nsid w:val="7FFFCA11"/>
    <w:multiLevelType w:val="hybridMultilevel"/>
    <w:lvl w:ilvl="0">
      <w:lvlJc w:val="left"/>
      <w:lvlText w:val="%1"/>
      <w:numFmt w:val="lowerLetter"/>
      <w:start w:val="1"/>
    </w:lvl>
    <w:lvl w:ilvl="1">
      <w:lvlJc w:val="left"/>
      <w:lvlText w:val="%2."/>
      <w:numFmt w:val="decimal"/>
      <w:start w:val="3"/>
    </w:lvl>
  </w:abstractNum>
  <w:abstractNum w:abstractNumId="67">
    <w:nsid w:val="1A27709E"/>
    <w:multiLevelType w:val="hybridMultilevel"/>
    <w:lvl w:ilvl="0">
      <w:lvlJc w:val="left"/>
      <w:lvlText w:val="(%1)"/>
      <w:numFmt w:val="lowerLetter"/>
      <w:start w:val="2"/>
    </w:lvl>
    <w:lvl w:ilvl="1">
      <w:lvlJc w:val="left"/>
      <w:lvlText w:val="%2"/>
      <w:numFmt w:val="decimal"/>
      <w:start w:val="1"/>
    </w:lvl>
  </w:abstractNum>
  <w:abstractNum w:abstractNumId="68">
    <w:nsid w:val="71EA1109"/>
    <w:multiLevelType w:val="hybridMultilevel"/>
    <w:lvl w:ilvl="0">
      <w:lvlJc w:val="left"/>
      <w:lvlText w:val="(%1)"/>
      <w:numFmt w:val="lowerLetter"/>
      <w:start w:val="3"/>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04"/>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5"/>
    </w:lvl>
    <w:lvl w:ilvl="1">
      <w:lvlJc w:val="left"/>
      <w:lvlText w:val="(%2)"/>
      <w:numFmt w:val="lowerLetter"/>
      <w:start w:val="1"/>
    </w:lvl>
  </w:abstractNum>
  <w:abstractNum w:abstractNumId="76">
    <w:nsid w:val="4C04A8AF"/>
    <w:multiLevelType w:val="hybridMultilevel"/>
    <w:lvl w:ilvl="0">
      <w:lvlJc w:val="left"/>
      <w:lvlText w:val="(%1)"/>
      <w:numFmt w:val="lowerLetter"/>
      <w:start w:val="1"/>
    </w:lvl>
    <w:lvl w:ilvl="1">
      <w:lvlJc w:val="left"/>
      <w:lvlText w:val="(%2)"/>
      <w:numFmt w:val="lowerLetter"/>
      <w:start w:val="2"/>
    </w:lvl>
  </w:abstractNum>
  <w:abstractNum w:abstractNumId="77">
    <w:nsid w:val="1716703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78">
    <w:nsid w:val="14E17E33"/>
    <w:multiLevelType w:val="hybridMultilevel"/>
    <w:lvl w:ilvl="0">
      <w:lvlJc w:val="left"/>
      <w:lvlText w:val="(%1)"/>
      <w:numFmt w:val="lowerRoman"/>
      <w:start w:val="1"/>
    </w:lvl>
  </w:abstractNum>
  <w:abstractNum w:abstractNumId="79">
    <w:nsid w:val="3222E7CD"/>
    <w:multiLevelType w:val="hybridMultilevel"/>
    <w:lvl w:ilvl="0">
      <w:lvlJc w:val="left"/>
      <w:lvlText w:val="(%1)"/>
      <w:numFmt w:val="lowerRoman"/>
      <w:start w:val="2"/>
    </w:lvl>
  </w:abstractNum>
  <w:abstractNum w:abstractNumId="80">
    <w:nsid w:val="74DE0EE3"/>
    <w:multiLevelType w:val="hybridMultilevel"/>
    <w:lvl w:ilvl="0">
      <w:lvlJc w:val="left"/>
      <w:lvlText w:val="%1."/>
      <w:numFmt w:val="decimal"/>
      <w:start w:val="10"/>
    </w:lvl>
  </w:abstractNum>
  <w:abstractNum w:abstractNumId="81">
    <w:nsid w:val="68EBC550"/>
    <w:multiLevelType w:val="hybridMultilevel"/>
    <w:lvl w:ilvl="0">
      <w:lvlJc w:val="left"/>
      <w:lvlText w:val="%1."/>
      <w:numFmt w:val="decimal"/>
      <w:start w:val="13"/>
    </w:lvl>
  </w:abstractNum>
  <w:abstractNum w:abstractNumId="82">
    <w:nsid w:val="2DF6D648"/>
    <w:multiLevelType w:val="hybridMultilevel"/>
    <w:lvl w:ilvl="0">
      <w:lvlJc w:val="left"/>
      <w:lvlText w:val="%1."/>
      <w:numFmt w:val="decimal"/>
      <w:start w:val="16"/>
    </w:lvl>
  </w:abstractNum>
  <w:abstractNum w:abstractNumId="83">
    <w:nsid w:val="46B7D447"/>
    <w:multiLevelType w:val="hybridMultilevel"/>
    <w:lvl w:ilvl="0">
      <w:lvlJc w:val="left"/>
      <w:lvlText w:val="%1."/>
      <w:numFmt w:val="decimal"/>
      <w:start w:val="19"/>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2"/>
    </w:lvl>
  </w:abstractNum>
  <w:abstractNum w:abstractNumId="86">
    <w:nsid w:val="57FC4FBB"/>
    <w:multiLevelType w:val="hybridMultilevel"/>
    <w:lvl w:ilvl="0">
      <w:lvlJc w:val="left"/>
      <w:lvlText w:val="(%1)"/>
      <w:numFmt w:val="lowerRoman"/>
      <w:start w:val="1"/>
    </w:lvl>
    <w:lvl w:ilvl="1">
      <w:lvlJc w:val="left"/>
      <w:lvlText w:val="(%2)"/>
      <w:numFmt w:val="lowerRoman"/>
      <w:start w:val="2"/>
    </w:lvl>
  </w:abstractNum>
  <w:abstractNum w:abstractNumId="87">
    <w:nsid w:val="CC1016F"/>
    <w:multiLevelType w:val="hybridMultilevel"/>
    <w:lvl w:ilvl="0">
      <w:lvlJc w:val="left"/>
      <w:lvlText w:val="%1."/>
      <w:numFmt w:val="decimal"/>
      <w:start w:val="26"/>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lowerLetter"/>
      <w:start w:val="4"/>
    </w:lvl>
  </w:abstractNum>
  <w:abstractNum w:abstractNumId="90">
    <w:nsid w:val="26F324BA"/>
    <w:multiLevelType w:val="hybridMultilevel"/>
    <w:lvl w:ilvl="0">
      <w:lvlJc w:val="left"/>
      <w:lvlText w:val="%1."/>
      <w:numFmt w:val="decimal"/>
      <w:start w:val="27"/>
    </w:lvl>
  </w:abstractNum>
  <w:abstractNum w:abstractNumId="91">
    <w:nsid w:val="7F01579B"/>
    <w:multiLevelType w:val="hybridMultilevel"/>
    <w:lvl w:ilvl="0">
      <w:lvlJc w:val="left"/>
      <w:lvlText w:val="%1."/>
      <w:numFmt w:val="decimal"/>
      <w:start w:val="3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5"/>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56"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26" Type="http://schemas.openxmlformats.org/officeDocument/2006/relationships/hyperlink" Target="http://www.sec.gov/Archives/edgar/data/769397/000119312506068809/dex31.htm" TargetMode="External"/><Relationship Id="rId127" Type="http://schemas.openxmlformats.org/officeDocument/2006/relationships/hyperlink" Target="http://www.sec.gov/Archives/edgar/data/769397/000076939718000027/bylawsasamended-2018xjunex.htm" TargetMode="External"/><Relationship Id="rId128" Type="http://schemas.openxmlformats.org/officeDocument/2006/relationships/hyperlink" Target="http://www.sec.gov/Archives/edgar/data/769397/000119312512501656/d452709dex41.htm" TargetMode="External"/><Relationship Id="rId129" Type="http://schemas.openxmlformats.org/officeDocument/2006/relationships/hyperlink" Target="http://www.sec.gov/Archives/edgar/data/769397/000119312512501656/d452709dex42.htm" TargetMode="External"/><Relationship Id="rId130" Type="http://schemas.openxmlformats.org/officeDocument/2006/relationships/hyperlink" Target="http://www.sec.gov/Archives/edgar/data/769397/000119312517198513/d399645dex41.htm" TargetMode="External"/><Relationship Id="rId131" Type="http://schemas.openxmlformats.org/officeDocument/2006/relationships/hyperlink" Target="http://www.sec.gov/Archives/edgar/data/769397/000119312520006887/d817406dex41.htm" TargetMode="External"/><Relationship Id="rId132" Type="http://schemas.openxmlformats.org/officeDocument/2006/relationships/hyperlink" Target="https://www.sec.gov/Archives/edgar/data/769397/000076939720000013/ex46autodesk-descripti.htm" TargetMode="External"/><Relationship Id="rId133" Type="http://schemas.openxmlformats.org/officeDocument/2006/relationships/hyperlink" Target="http://www.sec.gov/Archives/edgar/data/769397/000076939718000015/form8-kx2018xmarchx21item5.htm" TargetMode="External"/><Relationship Id="rId134" Type="http://schemas.openxmlformats.org/officeDocument/2006/relationships/hyperlink" Target="http://www.sec.gov/Archives/edgar/data/769397/000076939718000042/ex103-autodeskxespp199.htm" TargetMode="External"/><Relationship Id="rId135" Type="http://schemas.openxmlformats.org/officeDocument/2006/relationships/hyperlink" Target="http://www.sec.gov/Archives/edgar/data/769397/000076939716000087/adsk07312016ex105.htm" TargetMode="External"/><Relationship Id="rId136" Type="http://schemas.openxmlformats.org/officeDocument/2006/relationships/hyperlink" Target="http://www.sec.gov/Archives/edgar/data/769397/000076939718000042/ex102-2012employeestoc.htm" TargetMode="External"/><Relationship Id="rId137" Type="http://schemas.openxmlformats.org/officeDocument/2006/relationships/hyperlink" Target="http://www.sec.gov/Archives/edgar/data/769397/000076939716000087/adsk07312016ex102.htm" TargetMode="External"/><Relationship Id="rId138" Type="http://schemas.openxmlformats.org/officeDocument/2006/relationships/hyperlink" Target="http://www.sec.gov/Archives/edgar/data/769397/000076939716000087/adsk07312016ex103.htm" TargetMode="External"/><Relationship Id="rId139" Type="http://schemas.openxmlformats.org/officeDocument/2006/relationships/hyperlink" Target="http://www.sec.gov/Archives/edgar/data/769397/000119312512112024/d314351dex102.htm" TargetMode="External"/><Relationship Id="rId140" Type="http://schemas.openxmlformats.org/officeDocument/2006/relationships/hyperlink" Target="http://www.sec.gov/Archives/edgar/data/769397/000119312512112024/d314351dex104.htm" TargetMode="External"/><Relationship Id="rId141" Type="http://schemas.openxmlformats.org/officeDocument/2006/relationships/hyperlink" Target="http://www.sec.gov/Archives/edgar/data/769397/000076939718000057/plangrid2012equityincentiv.htm" TargetMode="External"/><Relationship Id="rId142" Type="http://schemas.openxmlformats.org/officeDocument/2006/relationships/hyperlink" Target="http://www.sec.gov/Archives/edgar/data/769397/000076939719000002/ex991buildingconnected2013.htm" TargetMode="External"/><Relationship Id="rId143" Type="http://schemas.openxmlformats.org/officeDocument/2006/relationships/hyperlink" Target="http://www.sec.gov/Archives/edgar/data/769397/000076939717000014/adsk01312017ex1018.htm" TargetMode="External"/><Relationship Id="rId144" Type="http://schemas.openxmlformats.org/officeDocument/2006/relationships/hyperlink" Target="http://www.sec.gov/Archives/edgar/data/769397/000119312512112024/d314351dex105.htm" TargetMode="External"/><Relationship Id="rId145" Type="http://schemas.openxmlformats.org/officeDocument/2006/relationships/hyperlink" Target="http://www.sec.gov/Archives/edgar/data/769397/000076939719000030/exhibit101-directordef.htm" TargetMode="External"/><Relationship Id="rId146" Type="http://schemas.openxmlformats.org/officeDocument/2006/relationships/hyperlink" Target="http://www.sec.gov/Archives/edgar/data/769397/000076939716000067/adsk01312016ex1023.htm" TargetMode="External"/><Relationship Id="rId147" Type="http://schemas.openxmlformats.org/officeDocument/2006/relationships/hyperlink" Target="http://www.sec.gov/Archives/edgar/data/769397/000119312509249297/dex101.htm" TargetMode="External"/><Relationship Id="rId148" Type="http://schemas.openxmlformats.org/officeDocument/2006/relationships/hyperlink" Target="http://www.sec.gov/Archives/edgar/data/769397/000076939716000100/ex101executivechangeincont.htm" TargetMode="External"/><Relationship Id="rId149" Type="http://schemas.openxmlformats.org/officeDocument/2006/relationships/hyperlink" Target="http://www.sec.gov/Archives/edgar/data/769397/000076939719000016/adsk01312019ex1017.htm" TargetMode="External"/><Relationship Id="rId150" Type="http://schemas.openxmlformats.org/officeDocument/2006/relationships/hyperlink" Target="http://www.sec.gov/Archives/edgar/data/769397/000119312505067261/dex108.htm" TargetMode="External"/><Relationship Id="rId151" Type="http://schemas.openxmlformats.org/officeDocument/2006/relationships/hyperlink" Target="http://www.sec.gov/Archives/edgar/data/769397/000119312517207116/d372890dex101.htm" TargetMode="External"/><Relationship Id="rId152" Type="http://schemas.openxmlformats.org/officeDocument/2006/relationships/hyperlink" Target="http://www.sec.gov/Archives/edgar/data/769397/000076939718000043/ex991-autodeskseverancepla.htm" TargetMode="External"/><Relationship Id="rId153" Type="http://schemas.openxmlformats.org/officeDocument/2006/relationships/hyperlink" Target="http://www.sec.gov/Archives/edgar/data/769397/000119312504210314/dex101.htm" TargetMode="External"/><Relationship Id="rId154" Type="http://schemas.openxmlformats.org/officeDocument/2006/relationships/hyperlink" Target="http://www.sec.gov/Archives/edgar/data/769397/000119312510061070/dex1030.htm" TargetMode="External"/><Relationship Id="rId155" Type="http://schemas.openxmlformats.org/officeDocument/2006/relationships/hyperlink" Target="http://www.sec.gov/Archives/edgar/data/769397/000076939718000055/ex101-amendedandrestatedcr.htm" TargetMode="External"/><Relationship Id="rId157" Type="http://schemas.openxmlformats.org/officeDocument/2006/relationships/hyperlink" Target="http://www.sec.gov/Archives/edgar/data/769397/000076939718000055/ex102-termloa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2021-03-19T15:06:55Z</dcterms:created>
  <dcterms:modified xsi:type="dcterms:W3CDTF">2021-03-19T15:06:55Z</dcterms:modified>
</cp:coreProperties>
</file>